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EAB" w:rsidRPr="002A7EAB"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699E0946" wp14:editId="6ED6B5AB">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Pr>
          <w:rFonts w:asciiTheme="majorHAnsi" w:hAnsiTheme="majorHAnsi" w:cs="Times New Roman"/>
        </w:rPr>
        <w:t>dne</w:t>
      </w:r>
      <w:r w:rsidR="00467FDE">
        <w:rPr>
          <w:rFonts w:asciiTheme="majorHAnsi" w:hAnsiTheme="majorHAnsi" w:cs="Times New Roman"/>
        </w:rPr>
        <w:t xml:space="preserve"> </w:t>
      </w:r>
      <w:r w:rsidR="00921258">
        <w:rPr>
          <w:rFonts w:asciiTheme="majorHAnsi" w:hAnsiTheme="majorHAnsi" w:cs="Times New Roman"/>
        </w:rPr>
        <w:t>20</w:t>
      </w:r>
      <w:r w:rsidR="00D870BD">
        <w:rPr>
          <w:rFonts w:asciiTheme="majorHAnsi" w:hAnsiTheme="majorHAnsi" w:cs="Times New Roman"/>
        </w:rPr>
        <w:t xml:space="preserve">. </w:t>
      </w:r>
      <w:r w:rsidR="00BB26F1">
        <w:rPr>
          <w:rFonts w:asciiTheme="majorHAnsi" w:hAnsiTheme="majorHAnsi" w:cs="Times New Roman"/>
        </w:rPr>
        <w:t>listopadu</w:t>
      </w:r>
      <w:r w:rsidR="004C2CC7">
        <w:rPr>
          <w:rFonts w:asciiTheme="majorHAnsi" w:hAnsiTheme="majorHAnsi" w:cs="Times New Roman"/>
        </w:rPr>
        <w:t xml:space="preserve"> 202</w:t>
      </w:r>
      <w:r w:rsidR="00BA5259">
        <w:rPr>
          <w:rFonts w:asciiTheme="majorHAnsi" w:hAnsiTheme="majorHAnsi" w:cs="Times New Roman"/>
        </w:rPr>
        <w:t>5</w:t>
      </w:r>
    </w:p>
    <w:p w:rsidR="00981F7F" w:rsidRPr="001C6BF1" w:rsidRDefault="00B13EA2" w:rsidP="001C6BF1">
      <w:pPr>
        <w:spacing w:after="0" w:line="204" w:lineRule="auto"/>
        <w:rPr>
          <w:rFonts w:asciiTheme="majorHAnsi" w:hAnsiTheme="majorHAnsi" w:cs="Times New Roman"/>
        </w:rPr>
      </w:pPr>
      <w:r w:rsidRPr="001C6BF1">
        <w:rPr>
          <w:rFonts w:asciiTheme="majorHAnsi" w:hAnsiTheme="majorHAnsi" w:cs="Times New Roman"/>
        </w:rPr>
        <w:t xml:space="preserve">Čj. </w:t>
      </w:r>
      <w:r w:rsidR="001C6BF1" w:rsidRPr="001C6BF1">
        <w:rPr>
          <w:rFonts w:asciiTheme="majorHAnsi" w:hAnsiTheme="majorHAnsi" w:cs="Times New Roman"/>
        </w:rPr>
        <w:t>2341</w:t>
      </w:r>
      <w:r w:rsidR="00467FDE">
        <w:rPr>
          <w:rFonts w:asciiTheme="majorHAnsi" w:hAnsiTheme="majorHAnsi" w:cs="Times New Roman"/>
        </w:rPr>
        <w:t>0703</w:t>
      </w:r>
      <w:r w:rsidR="001C6BF1" w:rsidRPr="001C6BF1">
        <w:rPr>
          <w:rFonts w:asciiTheme="majorHAnsi" w:hAnsiTheme="majorHAnsi" w:cs="Times New Roman"/>
        </w:rPr>
        <w:t>-</w:t>
      </w:r>
      <w:r w:rsidR="00240957">
        <w:rPr>
          <w:rFonts w:asciiTheme="majorHAnsi" w:hAnsiTheme="majorHAnsi" w:cs="Times New Roman"/>
        </w:rPr>
        <w:t>1</w:t>
      </w:r>
      <w:r w:rsidR="00BB26F1">
        <w:rPr>
          <w:rFonts w:asciiTheme="majorHAnsi" w:hAnsiTheme="majorHAnsi" w:cs="Times New Roman"/>
        </w:rPr>
        <w:t>4</w:t>
      </w:r>
      <w:r w:rsidR="001C6BF1" w:rsidRPr="001C6BF1">
        <w:rPr>
          <w:rFonts w:asciiTheme="majorHAnsi" w:hAnsiTheme="majorHAnsi" w:cs="Times New Roman"/>
        </w:rPr>
        <w:t>/202</w:t>
      </w:r>
      <w:r w:rsidR="00467FDE">
        <w:rPr>
          <w:rFonts w:asciiTheme="majorHAnsi" w:hAnsiTheme="majorHAnsi" w:cs="Times New Roman"/>
        </w:rPr>
        <w:t>2</w:t>
      </w:r>
      <w:r w:rsidR="001C6BF1" w:rsidRPr="001C6BF1">
        <w:rPr>
          <w:rFonts w:asciiTheme="majorHAnsi" w:hAnsiTheme="majorHAnsi" w:cs="Times New Roman"/>
        </w:rPr>
        <w:t>-7542</w:t>
      </w:r>
    </w:p>
    <w:p w:rsidR="002A7EAB" w:rsidRPr="002A7EAB" w:rsidRDefault="002A7EAB" w:rsidP="002A7EAB">
      <w:pPr>
        <w:widowControl w:val="0"/>
        <w:tabs>
          <w:tab w:val="left" w:pos="2835"/>
        </w:tabs>
        <w:spacing w:after="0" w:line="204" w:lineRule="auto"/>
        <w:rPr>
          <w:rFonts w:asciiTheme="majorHAnsi" w:hAnsiTheme="majorHAnsi" w:cs="Times New Roman"/>
        </w:rPr>
      </w:pPr>
    </w:p>
    <w:p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3A7E3F">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rsidTr="009A10D9">
        <w:tc>
          <w:tcPr>
            <w:tcW w:w="9639" w:type="dxa"/>
            <w:shd w:val="clear" w:color="auto" w:fill="DBE5F1" w:themeFill="accent1" w:themeFillTint="33"/>
          </w:tcPr>
          <w:p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rsidR="002A7EAB" w:rsidRPr="000242E6" w:rsidRDefault="002A7EAB" w:rsidP="00200424">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Pr>
          <w:rFonts w:asciiTheme="majorHAnsi" w:hAnsiTheme="majorHAnsi" w:cs="Times New Roman"/>
          <w:b/>
          <w:color w:val="C00000"/>
        </w:rPr>
        <w:t xml:space="preserve">dne </w:t>
      </w:r>
      <w:r w:rsidR="00BB26F1">
        <w:rPr>
          <w:rFonts w:asciiTheme="majorHAnsi" w:hAnsiTheme="majorHAnsi" w:cs="Times New Roman"/>
          <w:b/>
          <w:color w:val="C00000"/>
        </w:rPr>
        <w:t>21</w:t>
      </w:r>
      <w:r w:rsidR="00D870BD">
        <w:rPr>
          <w:rFonts w:asciiTheme="majorHAnsi" w:hAnsiTheme="majorHAnsi" w:cs="Times New Roman"/>
          <w:b/>
          <w:color w:val="C00000"/>
        </w:rPr>
        <w:t xml:space="preserve">. </w:t>
      </w:r>
      <w:r w:rsidR="00BB26F1">
        <w:rPr>
          <w:rFonts w:asciiTheme="majorHAnsi" w:hAnsiTheme="majorHAnsi" w:cs="Times New Roman"/>
          <w:b/>
          <w:color w:val="C00000"/>
        </w:rPr>
        <w:t>listopadu</w:t>
      </w:r>
      <w:r w:rsidR="009F5890">
        <w:rPr>
          <w:rFonts w:asciiTheme="majorHAnsi" w:hAnsiTheme="majorHAnsi" w:cs="Times New Roman"/>
          <w:b/>
          <w:color w:val="C00000"/>
        </w:rPr>
        <w:t xml:space="preserve"> 202</w:t>
      </w:r>
      <w:r w:rsidR="0099099B">
        <w:rPr>
          <w:rFonts w:asciiTheme="majorHAnsi" w:hAnsiTheme="majorHAnsi" w:cs="Times New Roman"/>
          <w:b/>
          <w:color w:val="C00000"/>
        </w:rPr>
        <w:t>5</w:t>
      </w:r>
      <w:r w:rsidR="009F5890" w:rsidRPr="002A7EAB">
        <w:rPr>
          <w:rFonts w:asciiTheme="majorHAnsi" w:hAnsiTheme="majorHAnsi" w:cs="Times New Roman"/>
          <w:color w:val="C00000"/>
        </w:rPr>
        <w:t xml:space="preserve"> </w:t>
      </w:r>
      <w:r w:rsidR="009F5890" w:rsidRPr="002A7EAB">
        <w:rPr>
          <w:rFonts w:asciiTheme="majorHAnsi" w:hAnsiTheme="majorHAnsi" w:cs="Times New Roman"/>
        </w:rPr>
        <w:t>výběrové řízení na služební míst</w:t>
      </w:r>
      <w:r w:rsidR="009F5890">
        <w:rPr>
          <w:rFonts w:asciiTheme="majorHAnsi" w:hAnsiTheme="majorHAnsi" w:cs="Times New Roman"/>
        </w:rPr>
        <w:t xml:space="preserve">o </w:t>
      </w:r>
      <w:r w:rsidR="00064D2F" w:rsidRPr="00064D2F">
        <w:rPr>
          <w:rFonts w:asciiTheme="majorHAnsi" w:eastAsia="Times New Roman" w:hAnsiTheme="majorHAnsi" w:cs="Times New Roman"/>
          <w:b/>
          <w:bCs/>
          <w:color w:val="C00000"/>
          <w:lang w:eastAsia="cs-CZ"/>
        </w:rPr>
        <w:t>rada/ministerský rada oddělení ochrany územních zájmů odboru ochrany územních zájmů a státního odborného dozoru sekce majetkové Ministerstva obrany (</w:t>
      </w:r>
      <w:proofErr w:type="spellStart"/>
      <w:r w:rsidR="00064D2F" w:rsidRPr="00064D2F">
        <w:rPr>
          <w:rFonts w:asciiTheme="majorHAnsi" w:eastAsia="Times New Roman" w:hAnsiTheme="majorHAnsi" w:cs="Times New Roman"/>
          <w:b/>
          <w:bCs/>
          <w:color w:val="C00000"/>
          <w:lang w:eastAsia="cs-CZ"/>
        </w:rPr>
        <w:t>extID</w:t>
      </w:r>
      <w:proofErr w:type="spellEnd"/>
      <w:r w:rsidR="00064D2F" w:rsidRPr="00064D2F">
        <w:rPr>
          <w:rFonts w:asciiTheme="majorHAnsi" w:eastAsia="Times New Roman" w:hAnsiTheme="majorHAnsi" w:cs="Times New Roman"/>
          <w:b/>
          <w:bCs/>
          <w:color w:val="C00000"/>
          <w:lang w:eastAsia="cs-CZ"/>
        </w:rPr>
        <w:t xml:space="preserve"> 0000 8201 0385</w:t>
      </w:r>
      <w:r w:rsidR="00480699" w:rsidRPr="00F436D0">
        <w:rPr>
          <w:rFonts w:asciiTheme="majorHAnsi" w:eastAsia="Times New Roman" w:hAnsiTheme="majorHAnsi" w:cs="Times New Roman"/>
          <w:b/>
          <w:bCs/>
          <w:color w:val="C00000"/>
          <w:lang w:eastAsia="cs-CZ"/>
        </w:rPr>
        <w:t>)</w:t>
      </w:r>
      <w:r w:rsidR="00480699">
        <w:rPr>
          <w:rFonts w:asciiTheme="majorHAnsi" w:eastAsia="Times New Roman" w:hAnsiTheme="majorHAnsi" w:cs="Times New Roman"/>
          <w:b/>
          <w:bCs/>
          <w:color w:val="C00000"/>
          <w:lang w:eastAsia="cs-CZ"/>
        </w:rPr>
        <w:t xml:space="preserve"> </w:t>
      </w:r>
      <w:r w:rsidR="0073206A" w:rsidRPr="000242E6">
        <w:rPr>
          <w:rFonts w:asciiTheme="majorHAnsi" w:hAnsiTheme="majorHAnsi" w:cs="Times New Roman"/>
        </w:rPr>
        <w:t>s</w:t>
      </w:r>
      <w:r w:rsidR="0073206A">
        <w:rPr>
          <w:rFonts w:asciiTheme="majorHAnsi" w:hAnsiTheme="majorHAnsi" w:cs="Times New Roman"/>
        </w:rPr>
        <w:t xml:space="preserve"> pracovištěm </w:t>
      </w:r>
      <w:r w:rsidR="003D7E13">
        <w:rPr>
          <w:rFonts w:asciiTheme="majorHAnsi" w:hAnsiTheme="majorHAnsi" w:cs="Times New Roman"/>
        </w:rPr>
        <w:t>Generála Píky 1</w:t>
      </w:r>
      <w:r w:rsidR="009A2D4D" w:rsidRPr="009A2D4D">
        <w:rPr>
          <w:rFonts w:asciiTheme="majorHAnsi" w:hAnsiTheme="majorHAnsi" w:cs="Times New Roman"/>
        </w:rPr>
        <w:t>, Praha 6, PSČ 160 00</w:t>
      </w:r>
      <w:r w:rsidR="0073206A" w:rsidRPr="008C5CA1">
        <w:rPr>
          <w:rFonts w:asciiTheme="majorHAnsi" w:hAnsiTheme="majorHAnsi" w:cs="Times New Roman"/>
        </w:rPr>
        <w:t>.</w:t>
      </w:r>
    </w:p>
    <w:p w:rsidR="00480699" w:rsidRPr="00F60581" w:rsidRDefault="00480699" w:rsidP="0082034B">
      <w:pPr>
        <w:spacing w:before="120" w:after="120" w:line="240" w:lineRule="auto"/>
        <w:jc w:val="both"/>
        <w:rPr>
          <w:rFonts w:asciiTheme="majorHAnsi" w:hAnsiTheme="majorHAnsi" w:cs="Times New Roman"/>
          <w:b/>
        </w:rPr>
      </w:pPr>
      <w:r w:rsidRPr="00F60581">
        <w:rPr>
          <w:rFonts w:asciiTheme="majorHAnsi" w:hAnsiTheme="majorHAnsi" w:cs="Times New Roman"/>
        </w:rPr>
        <w:t xml:space="preserve">Na služebním místě je státní služba (dále jen „služba“) vykonávaná v oborech státní služby </w:t>
      </w:r>
      <w:r w:rsidRPr="00480699">
        <w:rPr>
          <w:rFonts w:asciiTheme="majorHAnsi" w:hAnsiTheme="majorHAnsi" w:cs="Times New Roman"/>
          <w:b/>
        </w:rPr>
        <w:t xml:space="preserve">Územní plánování a stavební řád </w:t>
      </w:r>
      <w:r w:rsidRPr="00AD654E">
        <w:rPr>
          <w:rFonts w:asciiTheme="majorHAnsi" w:hAnsiTheme="majorHAnsi" w:cs="Times New Roman"/>
          <w:b/>
        </w:rPr>
        <w:t>(č. 41)</w:t>
      </w:r>
      <w:r w:rsidRPr="00F60581">
        <w:rPr>
          <w:rFonts w:asciiTheme="majorHAnsi" w:hAnsiTheme="majorHAnsi" w:cs="Times New Roman"/>
          <w:b/>
        </w:rPr>
        <w:t xml:space="preserve"> a Obrana (č. 49).</w:t>
      </w:r>
    </w:p>
    <w:p w:rsidR="00480699" w:rsidRPr="00F60581" w:rsidRDefault="00480699" w:rsidP="0082034B">
      <w:pPr>
        <w:spacing w:before="120" w:after="120" w:line="240" w:lineRule="auto"/>
        <w:jc w:val="both"/>
        <w:rPr>
          <w:rFonts w:asciiTheme="majorHAnsi" w:hAnsiTheme="majorHAnsi" w:cs="Times New Roman"/>
        </w:rPr>
      </w:pPr>
      <w:r w:rsidRPr="00F60581">
        <w:rPr>
          <w:rFonts w:asciiTheme="majorHAnsi" w:hAnsiTheme="majorHAnsi" w:cs="Times New Roman"/>
        </w:rPr>
        <w:t xml:space="preserve">Na tomto služebním místě jsou vykonávány zejména následující činnosti: </w:t>
      </w:r>
    </w:p>
    <w:p w:rsidR="00D108C1" w:rsidRPr="00D108C1" w:rsidRDefault="00D108C1" w:rsidP="00D108C1">
      <w:pPr>
        <w:pStyle w:val="Odstavecseseznamem"/>
        <w:numPr>
          <w:ilvl w:val="0"/>
          <w:numId w:val="29"/>
        </w:numPr>
        <w:spacing w:line="240" w:lineRule="auto"/>
        <w:jc w:val="both"/>
        <w:rPr>
          <w:rFonts w:asciiTheme="majorHAnsi" w:eastAsia="Times New Roman" w:hAnsiTheme="majorHAnsi" w:cs="Times New Roman"/>
          <w:lang w:eastAsia="cs-CZ"/>
        </w:rPr>
      </w:pPr>
      <w:r w:rsidRPr="00D108C1">
        <w:rPr>
          <w:rFonts w:asciiTheme="majorHAnsi" w:eastAsia="Times New Roman" w:hAnsiTheme="majorHAnsi" w:cs="Times New Roman"/>
          <w:lang w:eastAsia="cs-CZ"/>
        </w:rPr>
        <w:t>Vypracovávání zásadních právních výkladů a stanovisek v oboru územního plánování.</w:t>
      </w:r>
    </w:p>
    <w:p w:rsidR="00BE0403" w:rsidRPr="00A95E2E" w:rsidRDefault="006F1409" w:rsidP="00A95E2E">
      <w:pPr>
        <w:pStyle w:val="Odstavecseseznamem"/>
        <w:numPr>
          <w:ilvl w:val="0"/>
          <w:numId w:val="29"/>
        </w:numPr>
        <w:spacing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P</w:t>
      </w:r>
      <w:r w:rsidR="00D108C1" w:rsidRPr="00D108C1">
        <w:rPr>
          <w:rFonts w:asciiTheme="majorHAnsi" w:eastAsia="Times New Roman" w:hAnsiTheme="majorHAnsi" w:cs="Times New Roman"/>
          <w:lang w:eastAsia="cs-CZ"/>
        </w:rPr>
        <w:t>ln</w:t>
      </w:r>
      <w:r>
        <w:rPr>
          <w:rFonts w:asciiTheme="majorHAnsi" w:eastAsia="Times New Roman" w:hAnsiTheme="majorHAnsi" w:cs="Times New Roman"/>
          <w:lang w:eastAsia="cs-CZ"/>
        </w:rPr>
        <w:t>ění úkolů</w:t>
      </w:r>
      <w:r w:rsidR="00D108C1" w:rsidRPr="00D108C1">
        <w:rPr>
          <w:rFonts w:asciiTheme="majorHAnsi" w:eastAsia="Times New Roman" w:hAnsiTheme="majorHAnsi" w:cs="Times New Roman"/>
          <w:lang w:eastAsia="cs-CZ"/>
        </w:rPr>
        <w:t xml:space="preserve"> na teritoriu </w:t>
      </w:r>
      <w:r w:rsidR="00BE0403">
        <w:rPr>
          <w:rFonts w:asciiTheme="majorHAnsi" w:eastAsia="Times New Roman" w:hAnsiTheme="majorHAnsi" w:cs="Times New Roman"/>
          <w:lang w:eastAsia="cs-CZ"/>
        </w:rPr>
        <w:t>Praha</w:t>
      </w:r>
      <w:r w:rsidR="00D108C1" w:rsidRPr="00D108C1">
        <w:rPr>
          <w:rFonts w:asciiTheme="majorHAnsi" w:eastAsia="Times New Roman" w:hAnsiTheme="majorHAnsi" w:cs="Times New Roman"/>
          <w:lang w:eastAsia="cs-CZ"/>
        </w:rPr>
        <w:t xml:space="preserve"> ve spolupráci </w:t>
      </w:r>
      <w:r w:rsidR="005D4D9D">
        <w:rPr>
          <w:rFonts w:asciiTheme="majorHAnsi" w:eastAsia="Times New Roman" w:hAnsiTheme="majorHAnsi" w:cs="Times New Roman"/>
          <w:lang w:eastAsia="cs-CZ"/>
        </w:rPr>
        <w:t xml:space="preserve">s </w:t>
      </w:r>
      <w:r w:rsidR="00D108C1" w:rsidRPr="00D108C1">
        <w:rPr>
          <w:rFonts w:asciiTheme="majorHAnsi" w:eastAsia="Times New Roman" w:hAnsiTheme="majorHAnsi" w:cs="Times New Roman"/>
          <w:lang w:eastAsia="cs-CZ"/>
        </w:rPr>
        <w:t>příslušnými odbornými orgány podílejícími se na zpracování podkladů potřebných k ochraně územních zájmů.</w:t>
      </w:r>
    </w:p>
    <w:p w:rsidR="00D108C1" w:rsidRPr="00D108C1" w:rsidRDefault="00D108C1" w:rsidP="00D108C1">
      <w:pPr>
        <w:pStyle w:val="Odstavecseseznamem"/>
        <w:numPr>
          <w:ilvl w:val="0"/>
          <w:numId w:val="29"/>
        </w:numPr>
        <w:spacing w:line="240" w:lineRule="auto"/>
        <w:jc w:val="both"/>
        <w:rPr>
          <w:rFonts w:asciiTheme="majorHAnsi" w:eastAsia="Times New Roman" w:hAnsiTheme="majorHAnsi" w:cs="Times New Roman"/>
          <w:lang w:eastAsia="cs-CZ"/>
        </w:rPr>
      </w:pPr>
      <w:r w:rsidRPr="00D108C1">
        <w:rPr>
          <w:rFonts w:asciiTheme="majorHAnsi" w:eastAsia="Times New Roman" w:hAnsiTheme="majorHAnsi" w:cs="Times New Roman"/>
          <w:lang w:eastAsia="cs-CZ"/>
        </w:rPr>
        <w:t>Zpracovává</w:t>
      </w:r>
      <w:r w:rsidR="006F1409">
        <w:rPr>
          <w:rFonts w:asciiTheme="majorHAnsi" w:eastAsia="Times New Roman" w:hAnsiTheme="majorHAnsi" w:cs="Times New Roman"/>
          <w:lang w:eastAsia="cs-CZ"/>
        </w:rPr>
        <w:t>ní</w:t>
      </w:r>
      <w:r w:rsidRPr="00D108C1">
        <w:rPr>
          <w:rFonts w:asciiTheme="majorHAnsi" w:eastAsia="Times New Roman" w:hAnsiTheme="majorHAnsi" w:cs="Times New Roman"/>
          <w:lang w:eastAsia="cs-CZ"/>
        </w:rPr>
        <w:t xml:space="preserve"> a vydává</w:t>
      </w:r>
      <w:r w:rsidR="006F1409">
        <w:rPr>
          <w:rFonts w:asciiTheme="majorHAnsi" w:eastAsia="Times New Roman" w:hAnsiTheme="majorHAnsi" w:cs="Times New Roman"/>
          <w:lang w:eastAsia="cs-CZ"/>
        </w:rPr>
        <w:t>ní</w:t>
      </w:r>
      <w:r w:rsidRPr="00D108C1">
        <w:rPr>
          <w:rFonts w:asciiTheme="majorHAnsi" w:eastAsia="Times New Roman" w:hAnsiTheme="majorHAnsi" w:cs="Times New Roman"/>
          <w:lang w:eastAsia="cs-CZ"/>
        </w:rPr>
        <w:t xml:space="preserve"> závazn</w:t>
      </w:r>
      <w:r w:rsidR="006F1409">
        <w:rPr>
          <w:rFonts w:asciiTheme="majorHAnsi" w:eastAsia="Times New Roman" w:hAnsiTheme="majorHAnsi" w:cs="Times New Roman"/>
          <w:lang w:eastAsia="cs-CZ"/>
        </w:rPr>
        <w:t>ých</w:t>
      </w:r>
      <w:r w:rsidRPr="00D108C1">
        <w:rPr>
          <w:rFonts w:asciiTheme="majorHAnsi" w:eastAsia="Times New Roman" w:hAnsiTheme="majorHAnsi" w:cs="Times New Roman"/>
          <w:lang w:eastAsia="cs-CZ"/>
        </w:rPr>
        <w:t xml:space="preserve"> souhlasn</w:t>
      </w:r>
      <w:r w:rsidR="006F1409">
        <w:rPr>
          <w:rFonts w:asciiTheme="majorHAnsi" w:eastAsia="Times New Roman" w:hAnsiTheme="majorHAnsi" w:cs="Times New Roman"/>
          <w:lang w:eastAsia="cs-CZ"/>
        </w:rPr>
        <w:t>ých</w:t>
      </w:r>
      <w:r w:rsidRPr="00D108C1">
        <w:rPr>
          <w:rFonts w:asciiTheme="majorHAnsi" w:eastAsia="Times New Roman" w:hAnsiTheme="majorHAnsi" w:cs="Times New Roman"/>
          <w:lang w:eastAsia="cs-CZ"/>
        </w:rPr>
        <w:t xml:space="preserve"> stanovis</w:t>
      </w:r>
      <w:r w:rsidR="006F1409">
        <w:rPr>
          <w:rFonts w:asciiTheme="majorHAnsi" w:eastAsia="Times New Roman" w:hAnsiTheme="majorHAnsi" w:cs="Times New Roman"/>
          <w:lang w:eastAsia="cs-CZ"/>
        </w:rPr>
        <w:t>ek</w:t>
      </w:r>
      <w:r w:rsidRPr="00D108C1">
        <w:rPr>
          <w:rFonts w:asciiTheme="majorHAnsi" w:eastAsia="Times New Roman" w:hAnsiTheme="majorHAnsi" w:cs="Times New Roman"/>
          <w:lang w:eastAsia="cs-CZ"/>
        </w:rPr>
        <w:t xml:space="preserve"> bez podmínek a zpracovává</w:t>
      </w:r>
      <w:r w:rsidR="006F1409">
        <w:rPr>
          <w:rFonts w:asciiTheme="majorHAnsi" w:eastAsia="Times New Roman" w:hAnsiTheme="majorHAnsi" w:cs="Times New Roman"/>
          <w:lang w:eastAsia="cs-CZ"/>
        </w:rPr>
        <w:t>ní</w:t>
      </w:r>
      <w:r w:rsidRPr="00D108C1">
        <w:rPr>
          <w:rFonts w:asciiTheme="majorHAnsi" w:eastAsia="Times New Roman" w:hAnsiTheme="majorHAnsi" w:cs="Times New Roman"/>
          <w:lang w:eastAsia="cs-CZ"/>
        </w:rPr>
        <w:t xml:space="preserve"> závazn</w:t>
      </w:r>
      <w:r w:rsidR="006F1409">
        <w:rPr>
          <w:rFonts w:asciiTheme="majorHAnsi" w:eastAsia="Times New Roman" w:hAnsiTheme="majorHAnsi" w:cs="Times New Roman"/>
          <w:lang w:eastAsia="cs-CZ"/>
        </w:rPr>
        <w:t>ých</w:t>
      </w:r>
      <w:r w:rsidRPr="00D108C1">
        <w:rPr>
          <w:rFonts w:asciiTheme="majorHAnsi" w:eastAsia="Times New Roman" w:hAnsiTheme="majorHAnsi" w:cs="Times New Roman"/>
          <w:lang w:eastAsia="cs-CZ"/>
        </w:rPr>
        <w:t xml:space="preserve"> souhlasn</w:t>
      </w:r>
      <w:r w:rsidR="006F1409">
        <w:rPr>
          <w:rFonts w:asciiTheme="majorHAnsi" w:eastAsia="Times New Roman" w:hAnsiTheme="majorHAnsi" w:cs="Times New Roman"/>
          <w:lang w:eastAsia="cs-CZ"/>
        </w:rPr>
        <w:t>ých</w:t>
      </w:r>
      <w:r w:rsidRPr="00D108C1">
        <w:rPr>
          <w:rFonts w:asciiTheme="majorHAnsi" w:eastAsia="Times New Roman" w:hAnsiTheme="majorHAnsi" w:cs="Times New Roman"/>
          <w:lang w:eastAsia="cs-CZ"/>
        </w:rPr>
        <w:t xml:space="preserve"> stanovis</w:t>
      </w:r>
      <w:r w:rsidR="006F1409">
        <w:rPr>
          <w:rFonts w:asciiTheme="majorHAnsi" w:eastAsia="Times New Roman" w:hAnsiTheme="majorHAnsi" w:cs="Times New Roman"/>
          <w:lang w:eastAsia="cs-CZ"/>
        </w:rPr>
        <w:t>ek</w:t>
      </w:r>
      <w:r w:rsidRPr="00D108C1">
        <w:rPr>
          <w:rFonts w:asciiTheme="majorHAnsi" w:eastAsia="Times New Roman" w:hAnsiTheme="majorHAnsi" w:cs="Times New Roman"/>
          <w:lang w:eastAsia="cs-CZ"/>
        </w:rPr>
        <w:t xml:space="preserve"> s podmínkami Ministerstva obrany z hlediska ochrany územních zájmů k řízením vedeným podle </w:t>
      </w:r>
      <w:r w:rsidR="006F1409">
        <w:rPr>
          <w:rFonts w:asciiTheme="majorHAnsi" w:eastAsia="Times New Roman" w:hAnsiTheme="majorHAnsi" w:cs="Times New Roman"/>
          <w:lang w:eastAsia="cs-CZ"/>
        </w:rPr>
        <w:t xml:space="preserve">stavebního zákona </w:t>
      </w:r>
      <w:r w:rsidRPr="00D108C1">
        <w:rPr>
          <w:rFonts w:asciiTheme="majorHAnsi" w:eastAsia="Times New Roman" w:hAnsiTheme="majorHAnsi" w:cs="Times New Roman"/>
          <w:lang w:eastAsia="cs-CZ"/>
        </w:rPr>
        <w:t>v pozici dotčeného orgánu k civilní investiční výstavbě a kontrol</w:t>
      </w:r>
      <w:r w:rsidR="006F1409">
        <w:rPr>
          <w:rFonts w:asciiTheme="majorHAnsi" w:eastAsia="Times New Roman" w:hAnsiTheme="majorHAnsi" w:cs="Times New Roman"/>
          <w:lang w:eastAsia="cs-CZ"/>
        </w:rPr>
        <w:t>a</w:t>
      </w:r>
      <w:r w:rsidRPr="00D108C1">
        <w:rPr>
          <w:rFonts w:asciiTheme="majorHAnsi" w:eastAsia="Times New Roman" w:hAnsiTheme="majorHAnsi" w:cs="Times New Roman"/>
          <w:lang w:eastAsia="cs-CZ"/>
        </w:rPr>
        <w:t xml:space="preserve"> dodržování uložených podmínek civilním investorům, zpracovává</w:t>
      </w:r>
      <w:r w:rsidR="006F1409">
        <w:rPr>
          <w:rFonts w:asciiTheme="majorHAnsi" w:eastAsia="Times New Roman" w:hAnsiTheme="majorHAnsi" w:cs="Times New Roman"/>
          <w:lang w:eastAsia="cs-CZ"/>
        </w:rPr>
        <w:t>ní</w:t>
      </w:r>
      <w:r w:rsidRPr="00D108C1">
        <w:rPr>
          <w:rFonts w:asciiTheme="majorHAnsi" w:eastAsia="Times New Roman" w:hAnsiTheme="majorHAnsi" w:cs="Times New Roman"/>
          <w:lang w:eastAsia="cs-CZ"/>
        </w:rPr>
        <w:t xml:space="preserve"> návrh</w:t>
      </w:r>
      <w:r w:rsidR="006F1409">
        <w:rPr>
          <w:rFonts w:asciiTheme="majorHAnsi" w:eastAsia="Times New Roman" w:hAnsiTheme="majorHAnsi" w:cs="Times New Roman"/>
          <w:lang w:eastAsia="cs-CZ"/>
        </w:rPr>
        <w:t>ů</w:t>
      </w:r>
      <w:r w:rsidRPr="00D108C1">
        <w:rPr>
          <w:rFonts w:asciiTheme="majorHAnsi" w:eastAsia="Times New Roman" w:hAnsiTheme="majorHAnsi" w:cs="Times New Roman"/>
          <w:lang w:eastAsia="cs-CZ"/>
        </w:rPr>
        <w:t xml:space="preserve"> nesouhlasných závazných stanovisek.</w:t>
      </w:r>
    </w:p>
    <w:p w:rsidR="00D108C1" w:rsidRPr="00D108C1" w:rsidRDefault="00D108C1" w:rsidP="00D108C1">
      <w:pPr>
        <w:pStyle w:val="Odstavecseseznamem"/>
        <w:numPr>
          <w:ilvl w:val="0"/>
          <w:numId w:val="29"/>
        </w:numPr>
        <w:spacing w:line="240" w:lineRule="auto"/>
        <w:jc w:val="both"/>
        <w:rPr>
          <w:rFonts w:asciiTheme="majorHAnsi" w:eastAsia="Times New Roman" w:hAnsiTheme="majorHAnsi" w:cs="Times New Roman"/>
          <w:lang w:eastAsia="cs-CZ"/>
        </w:rPr>
      </w:pPr>
      <w:r w:rsidRPr="00D108C1">
        <w:rPr>
          <w:rFonts w:asciiTheme="majorHAnsi" w:eastAsia="Times New Roman" w:hAnsiTheme="majorHAnsi" w:cs="Times New Roman"/>
          <w:lang w:eastAsia="cs-CZ"/>
        </w:rPr>
        <w:t>Zpracovává</w:t>
      </w:r>
      <w:r w:rsidR="006F1409">
        <w:rPr>
          <w:rFonts w:asciiTheme="majorHAnsi" w:eastAsia="Times New Roman" w:hAnsiTheme="majorHAnsi" w:cs="Times New Roman"/>
          <w:lang w:eastAsia="cs-CZ"/>
        </w:rPr>
        <w:t>ní</w:t>
      </w:r>
      <w:r w:rsidRPr="00D108C1">
        <w:rPr>
          <w:rFonts w:asciiTheme="majorHAnsi" w:eastAsia="Times New Roman" w:hAnsiTheme="majorHAnsi" w:cs="Times New Roman"/>
          <w:lang w:eastAsia="cs-CZ"/>
        </w:rPr>
        <w:t xml:space="preserve"> a vydává</w:t>
      </w:r>
      <w:r w:rsidR="006F1409">
        <w:rPr>
          <w:rFonts w:asciiTheme="majorHAnsi" w:eastAsia="Times New Roman" w:hAnsiTheme="majorHAnsi" w:cs="Times New Roman"/>
          <w:lang w:eastAsia="cs-CZ"/>
        </w:rPr>
        <w:t>ní</w:t>
      </w:r>
      <w:r w:rsidRPr="00D108C1">
        <w:rPr>
          <w:rFonts w:asciiTheme="majorHAnsi" w:eastAsia="Times New Roman" w:hAnsiTheme="majorHAnsi" w:cs="Times New Roman"/>
          <w:lang w:eastAsia="cs-CZ"/>
        </w:rPr>
        <w:t xml:space="preserve"> stanovis</w:t>
      </w:r>
      <w:r w:rsidR="006F1409">
        <w:rPr>
          <w:rFonts w:asciiTheme="majorHAnsi" w:eastAsia="Times New Roman" w:hAnsiTheme="majorHAnsi" w:cs="Times New Roman"/>
          <w:lang w:eastAsia="cs-CZ"/>
        </w:rPr>
        <w:t>ek</w:t>
      </w:r>
      <w:r w:rsidRPr="00D108C1">
        <w:rPr>
          <w:rFonts w:asciiTheme="majorHAnsi" w:eastAsia="Times New Roman" w:hAnsiTheme="majorHAnsi" w:cs="Times New Roman"/>
          <w:lang w:eastAsia="cs-CZ"/>
        </w:rPr>
        <w:t xml:space="preserve"> k územně plánovacím dokumentacím měst a obcí ve všech stupních procesů pořizování a zpracovává</w:t>
      </w:r>
      <w:r w:rsidR="006F1409">
        <w:rPr>
          <w:rFonts w:asciiTheme="majorHAnsi" w:eastAsia="Times New Roman" w:hAnsiTheme="majorHAnsi" w:cs="Times New Roman"/>
          <w:lang w:eastAsia="cs-CZ"/>
        </w:rPr>
        <w:t>ní</w:t>
      </w:r>
      <w:r w:rsidRPr="00D108C1">
        <w:rPr>
          <w:rFonts w:asciiTheme="majorHAnsi" w:eastAsia="Times New Roman" w:hAnsiTheme="majorHAnsi" w:cs="Times New Roman"/>
          <w:lang w:eastAsia="cs-CZ"/>
        </w:rPr>
        <w:t xml:space="preserve"> stanovis</w:t>
      </w:r>
      <w:r w:rsidR="006F1409">
        <w:rPr>
          <w:rFonts w:asciiTheme="majorHAnsi" w:eastAsia="Times New Roman" w:hAnsiTheme="majorHAnsi" w:cs="Times New Roman"/>
          <w:lang w:eastAsia="cs-CZ"/>
        </w:rPr>
        <w:t>ek</w:t>
      </w:r>
      <w:r w:rsidRPr="00D108C1">
        <w:rPr>
          <w:rFonts w:asciiTheme="majorHAnsi" w:eastAsia="Times New Roman" w:hAnsiTheme="majorHAnsi" w:cs="Times New Roman"/>
          <w:lang w:eastAsia="cs-CZ"/>
        </w:rPr>
        <w:t xml:space="preserve"> k územně plánovacím dokumentacím krajů ve všech stupních procesů pořizování.</w:t>
      </w:r>
    </w:p>
    <w:p w:rsidR="00D108C1" w:rsidRDefault="00D108C1" w:rsidP="00D108C1">
      <w:pPr>
        <w:pStyle w:val="Odstavecseseznamem"/>
        <w:numPr>
          <w:ilvl w:val="0"/>
          <w:numId w:val="29"/>
        </w:numPr>
        <w:spacing w:line="240" w:lineRule="auto"/>
        <w:jc w:val="both"/>
        <w:rPr>
          <w:rFonts w:asciiTheme="majorHAnsi" w:eastAsia="Times New Roman" w:hAnsiTheme="majorHAnsi" w:cs="Times New Roman"/>
          <w:lang w:eastAsia="cs-CZ"/>
        </w:rPr>
      </w:pPr>
      <w:r w:rsidRPr="00D108C1">
        <w:rPr>
          <w:rFonts w:asciiTheme="majorHAnsi" w:eastAsia="Times New Roman" w:hAnsiTheme="majorHAnsi" w:cs="Times New Roman"/>
          <w:lang w:eastAsia="cs-CZ"/>
        </w:rPr>
        <w:t>Zpracovává</w:t>
      </w:r>
      <w:r w:rsidR="006F1409">
        <w:rPr>
          <w:rFonts w:asciiTheme="majorHAnsi" w:eastAsia="Times New Roman" w:hAnsiTheme="majorHAnsi" w:cs="Times New Roman"/>
          <w:lang w:eastAsia="cs-CZ"/>
        </w:rPr>
        <w:t>ní</w:t>
      </w:r>
      <w:r w:rsidRPr="00D108C1">
        <w:rPr>
          <w:rFonts w:asciiTheme="majorHAnsi" w:eastAsia="Times New Roman" w:hAnsiTheme="majorHAnsi" w:cs="Times New Roman"/>
          <w:lang w:eastAsia="cs-CZ"/>
        </w:rPr>
        <w:t xml:space="preserve"> a vyhodnoc</w:t>
      </w:r>
      <w:r w:rsidR="006F1409">
        <w:rPr>
          <w:rFonts w:asciiTheme="majorHAnsi" w:eastAsia="Times New Roman" w:hAnsiTheme="majorHAnsi" w:cs="Times New Roman"/>
          <w:lang w:eastAsia="cs-CZ"/>
        </w:rPr>
        <w:t>ování</w:t>
      </w:r>
      <w:r w:rsidRPr="00D108C1">
        <w:rPr>
          <w:rFonts w:asciiTheme="majorHAnsi" w:eastAsia="Times New Roman" w:hAnsiTheme="majorHAnsi" w:cs="Times New Roman"/>
          <w:lang w:eastAsia="cs-CZ"/>
        </w:rPr>
        <w:t xml:space="preserve"> doručen</w:t>
      </w:r>
      <w:r w:rsidR="006F1409">
        <w:rPr>
          <w:rFonts w:asciiTheme="majorHAnsi" w:eastAsia="Times New Roman" w:hAnsiTheme="majorHAnsi" w:cs="Times New Roman"/>
          <w:lang w:eastAsia="cs-CZ"/>
        </w:rPr>
        <w:t>ých</w:t>
      </w:r>
      <w:r w:rsidRPr="00D108C1">
        <w:rPr>
          <w:rFonts w:asciiTheme="majorHAnsi" w:eastAsia="Times New Roman" w:hAnsiTheme="majorHAnsi" w:cs="Times New Roman"/>
          <w:lang w:eastAsia="cs-CZ"/>
        </w:rPr>
        <w:t xml:space="preserve"> oznámení a rozhodnutí stavebních úřadů o civilní investiční výstavbě.</w:t>
      </w:r>
    </w:p>
    <w:p w:rsidR="00BE0403" w:rsidRPr="00BE0403" w:rsidRDefault="00BE0403" w:rsidP="00BE0403">
      <w:pPr>
        <w:pStyle w:val="Odstavecseseznamem"/>
        <w:numPr>
          <w:ilvl w:val="0"/>
          <w:numId w:val="29"/>
        </w:numPr>
        <w:spacing w:line="240" w:lineRule="auto"/>
        <w:jc w:val="both"/>
        <w:rPr>
          <w:rFonts w:asciiTheme="majorHAnsi" w:eastAsia="Times New Roman" w:hAnsiTheme="majorHAnsi" w:cs="Times New Roman"/>
          <w:lang w:eastAsia="cs-CZ"/>
        </w:rPr>
      </w:pPr>
      <w:r w:rsidRPr="00BE0403">
        <w:rPr>
          <w:rFonts w:asciiTheme="majorHAnsi" w:eastAsia="Times New Roman" w:hAnsiTheme="majorHAnsi" w:cs="Times New Roman"/>
          <w:lang w:eastAsia="cs-CZ"/>
        </w:rPr>
        <w:t>Zpracovává</w:t>
      </w:r>
      <w:r>
        <w:rPr>
          <w:rFonts w:asciiTheme="majorHAnsi" w:eastAsia="Times New Roman" w:hAnsiTheme="majorHAnsi" w:cs="Times New Roman"/>
          <w:lang w:eastAsia="cs-CZ"/>
        </w:rPr>
        <w:t>ní</w:t>
      </w:r>
      <w:r w:rsidRPr="00BE0403">
        <w:rPr>
          <w:rFonts w:asciiTheme="majorHAnsi" w:eastAsia="Times New Roman" w:hAnsiTheme="majorHAnsi" w:cs="Times New Roman"/>
          <w:lang w:eastAsia="cs-CZ"/>
        </w:rPr>
        <w:t xml:space="preserve"> podklad</w:t>
      </w:r>
      <w:r>
        <w:rPr>
          <w:rFonts w:asciiTheme="majorHAnsi" w:eastAsia="Times New Roman" w:hAnsiTheme="majorHAnsi" w:cs="Times New Roman"/>
          <w:lang w:eastAsia="cs-CZ"/>
        </w:rPr>
        <w:t>ů</w:t>
      </w:r>
      <w:r w:rsidRPr="00BE0403">
        <w:rPr>
          <w:rFonts w:asciiTheme="majorHAnsi" w:eastAsia="Times New Roman" w:hAnsiTheme="majorHAnsi" w:cs="Times New Roman"/>
          <w:lang w:eastAsia="cs-CZ"/>
        </w:rPr>
        <w:t xml:space="preserve"> pro rozhodovací činnost ředitele odboru a </w:t>
      </w:r>
      <w:r>
        <w:rPr>
          <w:rFonts w:asciiTheme="majorHAnsi" w:eastAsia="Times New Roman" w:hAnsiTheme="majorHAnsi" w:cs="Times New Roman"/>
          <w:lang w:eastAsia="cs-CZ"/>
        </w:rPr>
        <w:t>vrchní ředitel</w:t>
      </w:r>
      <w:r w:rsidR="00240957">
        <w:rPr>
          <w:rFonts w:asciiTheme="majorHAnsi" w:eastAsia="Times New Roman" w:hAnsiTheme="majorHAnsi" w:cs="Times New Roman"/>
          <w:lang w:eastAsia="cs-CZ"/>
        </w:rPr>
        <w:t>ky</w:t>
      </w:r>
      <w:r w:rsidRPr="00BE0403">
        <w:rPr>
          <w:rFonts w:asciiTheme="majorHAnsi" w:eastAsia="Times New Roman" w:hAnsiTheme="majorHAnsi" w:cs="Times New Roman"/>
          <w:lang w:eastAsia="cs-CZ"/>
        </w:rPr>
        <w:t xml:space="preserve"> sekce</w:t>
      </w:r>
      <w:r>
        <w:rPr>
          <w:rFonts w:asciiTheme="majorHAnsi" w:eastAsia="Times New Roman" w:hAnsiTheme="majorHAnsi" w:cs="Times New Roman"/>
          <w:lang w:eastAsia="cs-CZ"/>
        </w:rPr>
        <w:t xml:space="preserve"> majetkové</w:t>
      </w:r>
      <w:r w:rsidR="00240957">
        <w:rPr>
          <w:rFonts w:asciiTheme="majorHAnsi" w:eastAsia="Times New Roman" w:hAnsiTheme="majorHAnsi" w:cs="Times New Roman"/>
          <w:lang w:eastAsia="cs-CZ"/>
        </w:rPr>
        <w:t xml:space="preserve"> Ministerstva obrany</w:t>
      </w:r>
      <w:r w:rsidRPr="00BE0403">
        <w:rPr>
          <w:rFonts w:asciiTheme="majorHAnsi" w:eastAsia="Times New Roman" w:hAnsiTheme="majorHAnsi" w:cs="Times New Roman"/>
          <w:lang w:eastAsia="cs-CZ"/>
        </w:rPr>
        <w:t>.</w:t>
      </w:r>
    </w:p>
    <w:p w:rsidR="00BE0403" w:rsidRPr="00A95E2E" w:rsidRDefault="00BE0403" w:rsidP="00A95E2E">
      <w:pPr>
        <w:pStyle w:val="Odstavecseseznamem"/>
        <w:numPr>
          <w:ilvl w:val="0"/>
          <w:numId w:val="29"/>
        </w:numPr>
        <w:spacing w:line="240" w:lineRule="auto"/>
        <w:jc w:val="both"/>
        <w:rPr>
          <w:rFonts w:asciiTheme="majorHAnsi" w:eastAsia="Times New Roman" w:hAnsiTheme="majorHAnsi" w:cs="Times New Roman"/>
          <w:lang w:eastAsia="cs-CZ"/>
        </w:rPr>
      </w:pPr>
      <w:r w:rsidRPr="00BE0403">
        <w:rPr>
          <w:rFonts w:asciiTheme="majorHAnsi" w:eastAsia="Times New Roman" w:hAnsiTheme="majorHAnsi" w:cs="Times New Roman"/>
          <w:lang w:eastAsia="cs-CZ"/>
        </w:rPr>
        <w:t>Vede</w:t>
      </w:r>
      <w:r w:rsidR="00073B0D">
        <w:rPr>
          <w:rFonts w:asciiTheme="majorHAnsi" w:eastAsia="Times New Roman" w:hAnsiTheme="majorHAnsi" w:cs="Times New Roman"/>
          <w:lang w:eastAsia="cs-CZ"/>
        </w:rPr>
        <w:t>ní</w:t>
      </w:r>
      <w:r w:rsidRPr="00BE0403">
        <w:rPr>
          <w:rFonts w:asciiTheme="majorHAnsi" w:eastAsia="Times New Roman" w:hAnsiTheme="majorHAnsi" w:cs="Times New Roman"/>
          <w:lang w:eastAsia="cs-CZ"/>
        </w:rPr>
        <w:t xml:space="preserve"> předepsan</w:t>
      </w:r>
      <w:r w:rsidR="00073B0D">
        <w:rPr>
          <w:rFonts w:asciiTheme="majorHAnsi" w:eastAsia="Times New Roman" w:hAnsiTheme="majorHAnsi" w:cs="Times New Roman"/>
          <w:lang w:eastAsia="cs-CZ"/>
        </w:rPr>
        <w:t>é</w:t>
      </w:r>
      <w:r w:rsidRPr="00BE0403">
        <w:rPr>
          <w:rFonts w:asciiTheme="majorHAnsi" w:eastAsia="Times New Roman" w:hAnsiTheme="majorHAnsi" w:cs="Times New Roman"/>
          <w:lang w:eastAsia="cs-CZ"/>
        </w:rPr>
        <w:t xml:space="preserve"> evidenc</w:t>
      </w:r>
      <w:r w:rsidR="00073B0D">
        <w:rPr>
          <w:rFonts w:asciiTheme="majorHAnsi" w:eastAsia="Times New Roman" w:hAnsiTheme="majorHAnsi" w:cs="Times New Roman"/>
          <w:lang w:eastAsia="cs-CZ"/>
        </w:rPr>
        <w:t xml:space="preserve">e </w:t>
      </w:r>
      <w:r w:rsidRPr="00BE0403">
        <w:rPr>
          <w:rFonts w:asciiTheme="majorHAnsi" w:eastAsia="Times New Roman" w:hAnsiTheme="majorHAnsi" w:cs="Times New Roman"/>
          <w:lang w:eastAsia="cs-CZ"/>
        </w:rPr>
        <w:t>na úseku ochrany územních zájmů.</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rsidTr="009A10D9">
        <w:tc>
          <w:tcPr>
            <w:tcW w:w="9639" w:type="dxa"/>
            <w:shd w:val="clear" w:color="auto" w:fill="DBE5F1" w:themeFill="accent1" w:themeFillTint="33"/>
          </w:tcPr>
          <w:p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sidR="00D870BD">
        <w:rPr>
          <w:rFonts w:ascii="Cambria" w:hAnsi="Cambria" w:cs="Cambria"/>
          <w:b/>
          <w:bCs/>
          <w:color w:val="000000"/>
        </w:rPr>
        <w:t>2</w:t>
      </w:r>
      <w:r w:rsidRPr="006B3610">
        <w:rPr>
          <w:rFonts w:ascii="Cambria" w:hAnsi="Cambria" w:cs="Cambria"/>
          <w:b/>
          <w:bCs/>
          <w:color w:val="000000"/>
        </w:rPr>
        <w:t>. platové třídy</w:t>
      </w:r>
      <w:r w:rsidRPr="006B3610">
        <w:rPr>
          <w:rFonts w:ascii="Cambria" w:hAnsi="Cambria" w:cs="Cambria"/>
          <w:color w:val="000000"/>
        </w:rPr>
        <w:t xml:space="preserve">. </w:t>
      </w:r>
    </w:p>
    <w:p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rsidR="00D870BD" w:rsidRPr="00F81AEA" w:rsidRDefault="00D870BD" w:rsidP="00D870BD">
      <w:pPr>
        <w:spacing w:before="120" w:after="120" w:line="240" w:lineRule="auto"/>
        <w:jc w:val="both"/>
        <w:rPr>
          <w:rFonts w:asciiTheme="majorHAnsi" w:hAnsiTheme="majorHAnsi" w:cs="Times New Roman"/>
        </w:rPr>
      </w:pPr>
      <w:r w:rsidRPr="00F81AEA">
        <w:rPr>
          <w:rFonts w:asciiTheme="majorHAnsi" w:hAnsiTheme="majorHAnsi" w:cs="Times New Roman"/>
        </w:rPr>
        <w:t xml:space="preserve">Státnímu zaměstnanci přísluší </w:t>
      </w:r>
      <w:r w:rsidRPr="00F81AEA">
        <w:rPr>
          <w:rFonts w:asciiTheme="majorHAnsi" w:hAnsiTheme="majorHAnsi" w:cs="Times New Roman"/>
          <w:b/>
          <w:bCs/>
        </w:rPr>
        <w:t xml:space="preserve">platový tarif od </w:t>
      </w:r>
      <w:r>
        <w:rPr>
          <w:rFonts w:asciiTheme="majorHAnsi" w:hAnsiTheme="majorHAnsi" w:cs="Times New Roman"/>
          <w:b/>
          <w:bCs/>
        </w:rPr>
        <w:t>29 050</w:t>
      </w:r>
      <w:r w:rsidRPr="00F81AEA">
        <w:rPr>
          <w:rFonts w:asciiTheme="majorHAnsi" w:hAnsiTheme="majorHAnsi" w:cs="Times New Roman"/>
          <w:b/>
          <w:bCs/>
        </w:rPr>
        <w:t xml:space="preserve"> Kč do </w:t>
      </w:r>
      <w:r>
        <w:rPr>
          <w:rFonts w:asciiTheme="majorHAnsi" w:hAnsiTheme="majorHAnsi" w:cs="Times New Roman"/>
          <w:b/>
          <w:bCs/>
        </w:rPr>
        <w:t>42 140</w:t>
      </w:r>
      <w:r w:rsidRPr="00F81AEA">
        <w:rPr>
          <w:rFonts w:asciiTheme="majorHAnsi" w:hAnsiTheme="majorHAnsi" w:cs="Times New Roman"/>
          <w:b/>
          <w:bCs/>
        </w:rPr>
        <w:t xml:space="preserve"> Kč</w:t>
      </w:r>
      <w:r w:rsidRPr="00F81AEA">
        <w:rPr>
          <w:rFonts w:asciiTheme="majorHAnsi" w:hAnsiTheme="majorHAnsi" w:cs="Times New Roman"/>
        </w:rPr>
        <w:t xml:space="preserve">. </w:t>
      </w:r>
    </w:p>
    <w:p w:rsidR="00D870BD" w:rsidRDefault="00D870BD" w:rsidP="00D870BD">
      <w:pPr>
        <w:spacing w:before="120" w:after="120" w:line="240" w:lineRule="auto"/>
        <w:jc w:val="both"/>
        <w:rPr>
          <w:rFonts w:asciiTheme="majorHAnsi" w:hAnsiTheme="majorHAnsi" w:cs="Times New Roman"/>
        </w:rPr>
      </w:pPr>
      <w:r w:rsidRPr="00F81AEA">
        <w:rPr>
          <w:rFonts w:asciiTheme="majorHAnsi" w:hAnsiTheme="majorHAnsi" w:cs="Times New Roman"/>
        </w:rPr>
        <w:t xml:space="preserve">Státní zaměstnanec se zařadí do platového stupně podle započitatelné praxe a míry jejího zápočtu podle § 3 nařízení vlády č. 304/2014 Sb., o platových poměrech státních zaměstnanců, ve znění pozdějších předpisů. </w:t>
      </w:r>
    </w:p>
    <w:p w:rsidR="00D870BD" w:rsidRPr="00F81AEA" w:rsidRDefault="00D870BD" w:rsidP="00D870BD">
      <w:pPr>
        <w:spacing w:before="120" w:after="120" w:line="240" w:lineRule="auto"/>
        <w:jc w:val="both"/>
        <w:rPr>
          <w:rFonts w:asciiTheme="majorHAnsi" w:hAnsiTheme="majorHAnsi" w:cs="Times New Roman"/>
          <w:b/>
          <w:bCs/>
        </w:rPr>
      </w:pPr>
      <w:r w:rsidRPr="00F81AEA">
        <w:rPr>
          <w:rFonts w:asciiTheme="majorHAnsi" w:hAnsiTheme="majorHAnsi" w:cs="Times New Roman"/>
          <w:b/>
          <w:bCs/>
        </w:rPr>
        <w:t xml:space="preserve">2.2 Osobní příplatek </w:t>
      </w:r>
    </w:p>
    <w:p w:rsidR="00D870BD" w:rsidRPr="00F81AEA" w:rsidRDefault="00D870BD" w:rsidP="00D870BD">
      <w:pPr>
        <w:spacing w:before="120" w:after="120" w:line="240" w:lineRule="auto"/>
        <w:jc w:val="both"/>
        <w:rPr>
          <w:rFonts w:asciiTheme="majorHAnsi" w:hAnsiTheme="majorHAnsi" w:cs="Times New Roman"/>
        </w:rPr>
      </w:pPr>
      <w:r w:rsidRPr="00F81AEA">
        <w:rPr>
          <w:rFonts w:asciiTheme="majorHAnsi" w:hAnsiTheme="majorHAnsi" w:cs="Times New Roman"/>
        </w:rPr>
        <w:t xml:space="preserve">Rozpětí </w:t>
      </w:r>
      <w:r w:rsidRPr="00F81AEA">
        <w:rPr>
          <w:rFonts w:asciiTheme="majorHAnsi" w:hAnsiTheme="majorHAnsi" w:cs="Times New Roman"/>
          <w:b/>
          <w:bCs/>
        </w:rPr>
        <w:t xml:space="preserve">od 2 </w:t>
      </w:r>
      <w:r>
        <w:rPr>
          <w:rFonts w:asciiTheme="majorHAnsi" w:hAnsiTheme="majorHAnsi" w:cs="Times New Roman"/>
          <w:b/>
          <w:bCs/>
        </w:rPr>
        <w:t>107</w:t>
      </w:r>
      <w:r w:rsidRPr="00F81AEA">
        <w:rPr>
          <w:rFonts w:asciiTheme="majorHAnsi" w:hAnsiTheme="majorHAnsi" w:cs="Times New Roman"/>
          <w:b/>
          <w:bCs/>
        </w:rPr>
        <w:t xml:space="preserve"> Kč do 6 </w:t>
      </w:r>
      <w:r>
        <w:rPr>
          <w:rFonts w:asciiTheme="majorHAnsi" w:hAnsiTheme="majorHAnsi" w:cs="Times New Roman"/>
          <w:b/>
          <w:bCs/>
        </w:rPr>
        <w:t>321</w:t>
      </w:r>
      <w:r w:rsidRPr="00F81AEA">
        <w:rPr>
          <w:rFonts w:asciiTheme="majorHAnsi" w:hAnsiTheme="majorHAnsi" w:cs="Times New Roman"/>
          <w:b/>
          <w:bCs/>
        </w:rPr>
        <w:t xml:space="preserve"> Kč </w:t>
      </w:r>
      <w:r w:rsidRPr="00F81AEA">
        <w:rPr>
          <w:rFonts w:asciiTheme="majorHAnsi" w:hAnsiTheme="majorHAnsi" w:cs="Times New Roman"/>
        </w:rPr>
        <w:t xml:space="preserve">odpovídá </w:t>
      </w:r>
      <w:r w:rsidRPr="00F81AEA">
        <w:rPr>
          <w:rFonts w:asciiTheme="majorHAnsi" w:hAnsiTheme="majorHAnsi" w:cs="Times New Roman"/>
          <w:b/>
          <w:bCs/>
        </w:rPr>
        <w:t xml:space="preserve">průměrné výši osobního příplatku </w:t>
      </w:r>
      <w:r w:rsidRPr="00F81AEA">
        <w:rPr>
          <w:rFonts w:asciiTheme="majorHAnsi" w:hAnsiTheme="majorHAnsi" w:cs="Times New Roman"/>
        </w:rPr>
        <w:t xml:space="preserve">při dosahování dobrých výsledků ve služebním hodnocení ve služebních úřadech v České republice.  </w:t>
      </w:r>
    </w:p>
    <w:p w:rsidR="00EF0662" w:rsidRPr="006B3610" w:rsidRDefault="00D870BD" w:rsidP="00D870BD">
      <w:pPr>
        <w:spacing w:before="120" w:after="120" w:line="240" w:lineRule="auto"/>
        <w:jc w:val="both"/>
        <w:rPr>
          <w:rFonts w:ascii="Cambria" w:hAnsi="Cambria" w:cs="Cambria"/>
        </w:rPr>
      </w:pPr>
      <w:r w:rsidRPr="00F81AEA">
        <w:rPr>
          <w:rFonts w:asciiTheme="majorHAnsi" w:hAnsiTheme="majorHAnsi" w:cs="Times New Roman"/>
        </w:rPr>
        <w:lastRenderedPageBreak/>
        <w:t>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na kterém státní zaměstnanec vykonává službu</w:t>
      </w:r>
      <w:r w:rsidR="00EF0662" w:rsidRPr="006B3610">
        <w:rPr>
          <w:rFonts w:ascii="Cambria" w:hAnsi="Cambria" w:cs="Cambria"/>
        </w:rPr>
        <w:t xml:space="preserve">. </w:t>
      </w:r>
    </w:p>
    <w:p w:rsidR="00D2711B" w:rsidRPr="001F67DC" w:rsidRDefault="00147B95" w:rsidP="006B3610">
      <w:pPr>
        <w:autoSpaceDE w:val="0"/>
        <w:autoSpaceDN w:val="0"/>
        <w:adjustRightInd w:val="0"/>
        <w:spacing w:after="0" w:line="240" w:lineRule="auto"/>
        <w:rPr>
          <w:rFonts w:ascii="Cambria" w:hAnsi="Cambria" w:cs="Calibri"/>
          <w:b/>
          <w:bCs/>
          <w:sz w:val="23"/>
          <w:szCs w:val="23"/>
        </w:rPr>
      </w:pPr>
      <w:r w:rsidRPr="001F67DC">
        <w:rPr>
          <w:rFonts w:ascii="Cambria" w:hAnsi="Cambria" w:cs="Calibri"/>
          <w:b/>
          <w:bCs/>
          <w:sz w:val="23"/>
          <w:szCs w:val="23"/>
        </w:rPr>
        <w:t>2.</w:t>
      </w:r>
      <w:r w:rsidR="00206AC9">
        <w:rPr>
          <w:rFonts w:ascii="Cambria" w:hAnsi="Cambria" w:cs="Calibri"/>
          <w:b/>
          <w:bCs/>
          <w:sz w:val="23"/>
          <w:szCs w:val="23"/>
        </w:rPr>
        <w:t>3</w:t>
      </w:r>
      <w:r w:rsidRPr="001F67DC">
        <w:rPr>
          <w:rFonts w:ascii="Cambria" w:hAnsi="Cambria" w:cs="Calibri"/>
          <w:b/>
          <w:bCs/>
          <w:sz w:val="23"/>
          <w:szCs w:val="23"/>
        </w:rPr>
        <w:t xml:space="preserve"> Zvláštní příplatek </w:t>
      </w:r>
    </w:p>
    <w:p w:rsidR="00147B95" w:rsidRPr="001F67DC" w:rsidRDefault="00147B95" w:rsidP="00147B95">
      <w:pPr>
        <w:spacing w:before="120" w:after="120" w:line="240" w:lineRule="auto"/>
        <w:jc w:val="both"/>
        <w:rPr>
          <w:rFonts w:ascii="Cambria" w:hAnsi="Cambria" w:cs="Cambria"/>
          <w:b/>
        </w:rPr>
      </w:pPr>
      <w:r w:rsidRPr="0062271F">
        <w:rPr>
          <w:rFonts w:ascii="Cambria" w:hAnsi="Cambria" w:cs="Cambria"/>
        </w:rPr>
        <w:t xml:space="preserve">Státnímu zaměstnanci přísluší </w:t>
      </w:r>
      <w:r w:rsidRPr="0062271F">
        <w:rPr>
          <w:rFonts w:ascii="Cambria" w:hAnsi="Cambria" w:cs="Cambria"/>
          <w:b/>
        </w:rPr>
        <w:t xml:space="preserve">zvláštní </w:t>
      </w:r>
      <w:r w:rsidRPr="00E31F33">
        <w:rPr>
          <w:rFonts w:ascii="Cambria" w:hAnsi="Cambria" w:cs="Cambria"/>
          <w:b/>
        </w:rPr>
        <w:t>příplatek 1</w:t>
      </w:r>
      <w:r w:rsidR="001F67DC" w:rsidRPr="00E31F33">
        <w:rPr>
          <w:rFonts w:ascii="Cambria" w:hAnsi="Cambria" w:cs="Cambria"/>
          <w:b/>
        </w:rPr>
        <w:t xml:space="preserve"> </w:t>
      </w:r>
      <w:r w:rsidR="00BB26F1">
        <w:rPr>
          <w:rFonts w:ascii="Cambria" w:hAnsi="Cambria" w:cs="Cambria"/>
          <w:b/>
        </w:rPr>
        <w:t>6</w:t>
      </w:r>
      <w:r w:rsidR="003B4EC8" w:rsidRPr="00E31F33">
        <w:rPr>
          <w:rFonts w:ascii="Cambria" w:hAnsi="Cambria" w:cs="Cambria"/>
          <w:b/>
        </w:rPr>
        <w:t>00</w:t>
      </w:r>
      <w:r w:rsidRPr="00E31F33">
        <w:rPr>
          <w:rFonts w:ascii="Cambria" w:hAnsi="Cambria" w:cs="Cambria"/>
          <w:b/>
        </w:rPr>
        <w:t xml:space="preserve"> Kč</w:t>
      </w:r>
      <w:r w:rsidR="00AE09EB" w:rsidRPr="00E31F33">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rsidTr="009A10D9">
        <w:tc>
          <w:tcPr>
            <w:tcW w:w="9634" w:type="dxa"/>
            <w:shd w:val="clear" w:color="auto" w:fill="DBE5F1" w:themeFill="accent1" w:themeFillTint="33"/>
          </w:tcPr>
          <w:p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je </w:t>
      </w:r>
      <w:r w:rsidR="0062271F">
        <w:rPr>
          <w:rFonts w:ascii="Cambria" w:hAnsi="Cambria" w:cs="Cambria"/>
          <w:b/>
          <w:bCs/>
          <w:color w:val="000000"/>
        </w:rPr>
        <w:t>1</w:t>
      </w:r>
      <w:r w:rsidRPr="00147B95">
        <w:rPr>
          <w:rFonts w:ascii="Cambria" w:hAnsi="Cambria" w:cs="Cambria"/>
          <w:b/>
          <w:bCs/>
          <w:color w:val="000000"/>
        </w:rPr>
        <w:t xml:space="preserve">. </w:t>
      </w:r>
      <w:r w:rsidR="00BB26F1">
        <w:rPr>
          <w:rFonts w:ascii="Cambria" w:hAnsi="Cambria" w:cs="Cambria"/>
          <w:b/>
          <w:bCs/>
          <w:color w:val="000000"/>
        </w:rPr>
        <w:t>únor</w:t>
      </w:r>
      <w:r w:rsidR="00E97B63">
        <w:rPr>
          <w:rFonts w:ascii="Cambria" w:hAnsi="Cambria" w:cs="Cambria"/>
          <w:b/>
          <w:bCs/>
          <w:color w:val="000000"/>
        </w:rPr>
        <w:t xml:space="preserve"> </w:t>
      </w:r>
      <w:r w:rsidR="009F64A5">
        <w:rPr>
          <w:rFonts w:ascii="Cambria" w:hAnsi="Cambria" w:cs="Cambria"/>
          <w:b/>
          <w:bCs/>
          <w:color w:val="000000"/>
        </w:rPr>
        <w:t>202</w:t>
      </w:r>
      <w:r w:rsidR="00BB26F1">
        <w:rPr>
          <w:rFonts w:ascii="Cambria" w:hAnsi="Cambria" w:cs="Cambria"/>
          <w:b/>
          <w:bCs/>
          <w:color w:val="000000"/>
        </w:rPr>
        <w:t>6</w:t>
      </w:r>
      <w:r w:rsidRPr="00147B95">
        <w:rPr>
          <w:rFonts w:ascii="Cambria" w:hAnsi="Cambria" w:cs="Cambria"/>
          <w:i/>
          <w:iCs/>
          <w:color w:val="000000"/>
        </w:rPr>
        <w:t xml:space="preserve">. </w:t>
      </w:r>
    </w:p>
    <w:p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rsidR="001367CE" w:rsidRPr="001367CE" w:rsidRDefault="0062271F" w:rsidP="001367CE">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1367CE" w:rsidRPr="001367CE">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rsidTr="009A10D9">
        <w:tc>
          <w:tcPr>
            <w:tcW w:w="9639" w:type="dxa"/>
            <w:shd w:val="clear" w:color="auto" w:fill="DBE5F1" w:themeFill="accent1" w:themeFillTint="33"/>
          </w:tcPr>
          <w:p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rsidR="008F6063" w:rsidRPr="00731AEB" w:rsidRDefault="008F6063" w:rsidP="008F6063">
      <w:pPr>
        <w:spacing w:before="120" w:after="120" w:line="240" w:lineRule="auto"/>
        <w:jc w:val="both"/>
        <w:rPr>
          <w:rFonts w:ascii="Cambria" w:hAnsi="Cambria" w:cs="Cambria"/>
          <w:color w:val="000000"/>
        </w:rPr>
      </w:pPr>
      <w:r w:rsidRPr="00731AEB">
        <w:rPr>
          <w:rFonts w:ascii="Cambria" w:hAnsi="Cambria" w:cs="Cambria"/>
          <w:color w:val="000000"/>
        </w:rPr>
        <w:t>Posuzovány budou žádosti</w:t>
      </w:r>
      <w:r w:rsidRPr="00731AEB">
        <w:rPr>
          <w:rStyle w:val="Znakapoznpodarou"/>
          <w:rFonts w:ascii="Cambria" w:hAnsi="Cambria" w:cs="Cambria"/>
          <w:color w:val="000000"/>
        </w:rPr>
        <w:footnoteReference w:id="1"/>
      </w:r>
      <w:r w:rsidRPr="00731AEB">
        <w:rPr>
          <w:rFonts w:ascii="Cambria" w:hAnsi="Cambria" w:cs="Cambria"/>
          <w:color w:val="000000"/>
        </w:rPr>
        <w:t xml:space="preserve"> o přijetí do služebního poměru a zařazení na služební místo nebo žádosti o zařazení na služební místo (dále jen „žádost“) podané </w:t>
      </w:r>
      <w:r w:rsidRPr="00731AEB">
        <w:rPr>
          <w:rFonts w:ascii="Cambria" w:hAnsi="Cambria" w:cs="Cambria"/>
          <w:b/>
          <w:color w:val="000000"/>
        </w:rPr>
        <w:t xml:space="preserve">ve lhůtě do </w:t>
      </w:r>
      <w:r w:rsidR="00BE0403">
        <w:rPr>
          <w:rFonts w:ascii="Cambria" w:hAnsi="Cambria" w:cs="Cambria"/>
          <w:b/>
          <w:color w:val="000000"/>
        </w:rPr>
        <w:t>1</w:t>
      </w:r>
      <w:r w:rsidR="00BB26F1">
        <w:rPr>
          <w:rFonts w:ascii="Cambria" w:hAnsi="Cambria" w:cs="Cambria"/>
          <w:b/>
          <w:color w:val="000000"/>
        </w:rPr>
        <w:t>1</w:t>
      </w:r>
      <w:r w:rsidR="00BE0403">
        <w:rPr>
          <w:rFonts w:ascii="Cambria" w:hAnsi="Cambria" w:cs="Cambria"/>
          <w:b/>
          <w:color w:val="000000"/>
        </w:rPr>
        <w:t xml:space="preserve">. </w:t>
      </w:r>
      <w:r w:rsidR="00BB26F1">
        <w:rPr>
          <w:rFonts w:ascii="Cambria" w:hAnsi="Cambria" w:cs="Cambria"/>
          <w:b/>
          <w:color w:val="000000"/>
        </w:rPr>
        <w:t>prosince</w:t>
      </w:r>
      <w:r w:rsidRPr="00731AEB">
        <w:rPr>
          <w:rFonts w:ascii="Cambria" w:hAnsi="Cambria" w:cs="Cambria"/>
          <w:b/>
          <w:color w:val="000000"/>
        </w:rPr>
        <w:t xml:space="preserve"> 2025</w:t>
      </w:r>
      <w:r w:rsidRPr="00731AEB">
        <w:rPr>
          <w:rFonts w:ascii="Cambria" w:hAnsi="Cambria" w:cs="Cambria"/>
          <w:color w:val="000000"/>
        </w:rPr>
        <w:t xml:space="preserve">, tj. v této lhůtě </w:t>
      </w:r>
    </w:p>
    <w:p w:rsidR="004931AB" w:rsidRPr="00C0130C" w:rsidRDefault="004931AB" w:rsidP="004931AB">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doručené služebnímu orgánu </w:t>
      </w:r>
      <w:r w:rsidRPr="00C0130C">
        <w:rPr>
          <w:rFonts w:ascii="Cambria" w:hAnsi="Cambria" w:cs="Cambria"/>
          <w:b/>
          <w:bCs/>
          <w:color w:val="000000"/>
        </w:rPr>
        <w:t xml:space="preserve">prostřednictvím provozovatele poštovních služeb </w:t>
      </w:r>
      <w:r w:rsidRPr="00C0130C">
        <w:rPr>
          <w:rFonts w:ascii="Cambria" w:hAnsi="Cambria" w:cs="Cambria"/>
          <w:color w:val="000000"/>
        </w:rPr>
        <w:t>na adresu služebního úřadu</w:t>
      </w:r>
      <w:r>
        <w:rPr>
          <w:rFonts w:ascii="Cambria" w:hAnsi="Cambria" w:cs="Cambria"/>
          <w:color w:val="000000"/>
        </w:rPr>
        <w:t>:</w:t>
      </w:r>
      <w:r w:rsidRPr="00C0130C">
        <w:rPr>
          <w:rFonts w:ascii="Cambria" w:hAnsi="Cambria" w:cs="Cambria"/>
          <w:color w:val="000000"/>
        </w:rPr>
        <w:t xml:space="preserve"> Ministerstvo </w:t>
      </w:r>
      <w:r>
        <w:rPr>
          <w:rFonts w:ascii="Cambria" w:hAnsi="Cambria" w:cs="Cambria"/>
          <w:color w:val="000000"/>
        </w:rPr>
        <w:t>obrany,</w:t>
      </w:r>
      <w:r w:rsidRPr="002A7EAB">
        <w:rPr>
          <w:rFonts w:asciiTheme="majorHAnsi" w:hAnsiTheme="majorHAnsi" w:cs="Times New Roman"/>
        </w:rPr>
        <w:t xml:space="preserve"> náměstí Svobody 471/4, Praha</w:t>
      </w:r>
      <w:r>
        <w:rPr>
          <w:rFonts w:asciiTheme="majorHAnsi" w:hAnsiTheme="majorHAnsi" w:cs="Times New Roman"/>
        </w:rPr>
        <w:t> </w:t>
      </w:r>
      <w:r w:rsidRPr="002A7EAB">
        <w:rPr>
          <w:rFonts w:asciiTheme="majorHAnsi" w:hAnsiTheme="majorHAnsi" w:cs="Times New Roman"/>
        </w:rPr>
        <w:t>6 - Bubeneč, PSČ 160 01</w:t>
      </w:r>
      <w:r w:rsidRPr="00C0130C">
        <w:rPr>
          <w:rFonts w:ascii="Cambria" w:hAnsi="Cambria" w:cs="Cambria"/>
          <w:color w:val="000000"/>
        </w:rPr>
        <w:t xml:space="preserve">, </w:t>
      </w:r>
    </w:p>
    <w:p w:rsidR="004931AB" w:rsidRPr="00C0130C" w:rsidRDefault="004931AB" w:rsidP="004931AB">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w:t>
      </w:r>
      <w:r w:rsidRPr="00C0130C">
        <w:rPr>
          <w:rFonts w:ascii="Cambria" w:hAnsi="Cambria" w:cs="Cambria"/>
          <w:b/>
          <w:bCs/>
          <w:color w:val="000000"/>
        </w:rPr>
        <w:t xml:space="preserve">osobně </w:t>
      </w:r>
      <w:r w:rsidRPr="00C0130C">
        <w:rPr>
          <w:rFonts w:ascii="Cambria" w:hAnsi="Cambria" w:cs="Cambria"/>
          <w:color w:val="000000"/>
        </w:rPr>
        <w:t>služebn</w:t>
      </w:r>
      <w:r>
        <w:rPr>
          <w:rFonts w:ascii="Cambria" w:hAnsi="Cambria" w:cs="Cambria"/>
          <w:color w:val="000000"/>
        </w:rPr>
        <w:t>ímu</w:t>
      </w:r>
      <w:r w:rsidRPr="00C0130C">
        <w:rPr>
          <w:rFonts w:ascii="Cambria" w:hAnsi="Cambria" w:cs="Cambria"/>
          <w:color w:val="000000"/>
        </w:rPr>
        <w:t xml:space="preserve"> úřadu na výše uvedené adrese, </w:t>
      </w:r>
    </w:p>
    <w:p w:rsidR="004931AB" w:rsidRPr="00C0130C" w:rsidRDefault="004931AB" w:rsidP="004931AB">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podané v elektronické podobě</w:t>
      </w:r>
      <w:r>
        <w:rPr>
          <w:rStyle w:val="Znakapoznpodarou"/>
          <w:rFonts w:ascii="Cambria" w:hAnsi="Cambria" w:cs="Cambria"/>
          <w:color w:val="000000"/>
        </w:rPr>
        <w:footnoteReference w:id="2"/>
      </w:r>
      <w:r w:rsidRPr="00C0130C">
        <w:rPr>
          <w:rFonts w:ascii="Cambria" w:hAnsi="Cambria" w:cs="Cambria"/>
          <w:color w:val="000000"/>
        </w:rPr>
        <w:t xml:space="preserve"> na adresu elektronické pošty služebního úřadu </w:t>
      </w:r>
      <w:r>
        <w:rPr>
          <w:rFonts w:ascii="Cambria" w:hAnsi="Cambria" w:cs="Cambria"/>
          <w:color w:val="000000"/>
        </w:rPr>
        <w:br/>
      </w:r>
      <w:hyperlink r:id="rId10" w:history="1">
        <w:r w:rsidRPr="00941618">
          <w:rPr>
            <w:rStyle w:val="Hypertextovodkaz"/>
            <w:rFonts w:asciiTheme="majorHAnsi" w:eastAsia="Times New Roman" w:hAnsiTheme="majorHAnsi" w:cs="Times New Roman"/>
            <w:lang w:eastAsia="cs-CZ"/>
          </w:rPr>
          <w:t>epodatelna@mo.gov.cz</w:t>
        </w:r>
      </w:hyperlink>
      <w:r>
        <w:rPr>
          <w:rStyle w:val="Hypertextovodkaz"/>
          <w:rFonts w:asciiTheme="majorHAnsi" w:eastAsia="Times New Roman" w:hAnsiTheme="majorHAnsi" w:cs="Times New Roman"/>
          <w:lang w:eastAsia="cs-CZ"/>
        </w:rPr>
        <w:t xml:space="preserve"> </w:t>
      </w:r>
      <w:r w:rsidRPr="00C0130C">
        <w:rPr>
          <w:rFonts w:ascii="Cambria" w:hAnsi="Cambria" w:cs="Cambria"/>
          <w:color w:val="000000"/>
        </w:rPr>
        <w:t xml:space="preserve">nebo </w:t>
      </w:r>
    </w:p>
    <w:p w:rsidR="004931AB" w:rsidRPr="00C0130C" w:rsidRDefault="004931AB" w:rsidP="004931AB">
      <w:pPr>
        <w:pStyle w:val="Odstavecseseznamem"/>
        <w:numPr>
          <w:ilvl w:val="0"/>
          <w:numId w:val="29"/>
        </w:numPr>
        <w:spacing w:line="240" w:lineRule="auto"/>
        <w:ind w:left="357" w:hanging="357"/>
        <w:jc w:val="both"/>
        <w:rPr>
          <w:rFonts w:ascii="Cambria" w:hAnsi="Cambria" w:cs="Cambria"/>
          <w:color w:val="000000"/>
        </w:rPr>
      </w:pPr>
      <w:r w:rsidRPr="00C0130C">
        <w:rPr>
          <w:rFonts w:ascii="Cambria" w:hAnsi="Cambria" w:cs="Cambria"/>
          <w:color w:val="000000"/>
        </w:rPr>
        <w:t xml:space="preserve">podané v elektronické podobě prostřednictvím </w:t>
      </w:r>
      <w:r w:rsidRPr="00C0130C">
        <w:rPr>
          <w:rFonts w:ascii="Cambria" w:hAnsi="Cambria" w:cs="Cambria"/>
          <w:b/>
          <w:bCs/>
          <w:color w:val="000000"/>
        </w:rPr>
        <w:t xml:space="preserve">datové schránky </w:t>
      </w:r>
      <w:r w:rsidRPr="00C0130C">
        <w:rPr>
          <w:rFonts w:ascii="Cambria" w:hAnsi="Cambria" w:cs="Cambria"/>
          <w:color w:val="000000"/>
        </w:rPr>
        <w:t xml:space="preserve">služebního úřadu </w:t>
      </w:r>
      <w:proofErr w:type="spellStart"/>
      <w:r w:rsidRPr="00C0130C">
        <w:rPr>
          <w:rFonts w:ascii="Cambria" w:hAnsi="Cambria" w:cs="Cambria"/>
          <w:b/>
          <w:bCs/>
          <w:color w:val="000000"/>
        </w:rPr>
        <w:t>hjyaavk</w:t>
      </w:r>
      <w:proofErr w:type="spellEnd"/>
      <w:r w:rsidRPr="00C0130C">
        <w:rPr>
          <w:rFonts w:ascii="Cambria" w:hAnsi="Cambria" w:cs="Cambria"/>
          <w:color w:val="000000"/>
        </w:rPr>
        <w:t xml:space="preserve">. </w:t>
      </w:r>
    </w:p>
    <w:p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064D2F" w:rsidRPr="00064D2F">
        <w:rPr>
          <w:rFonts w:asciiTheme="majorHAnsi" w:eastAsia="Times New Roman" w:hAnsiTheme="majorHAnsi" w:cs="Times New Roman"/>
          <w:b/>
          <w:bCs/>
          <w:color w:val="000000" w:themeColor="text1"/>
          <w:lang w:eastAsia="cs-CZ"/>
        </w:rPr>
        <w:t>rada/ministerský rada oddělení ochrany územních zájmů odboru ochrany územních zájmů a státního odborného dozoru sekce majetkové Ministerstva obrany (</w:t>
      </w:r>
      <w:proofErr w:type="spellStart"/>
      <w:r w:rsidR="00064D2F" w:rsidRPr="00064D2F">
        <w:rPr>
          <w:rFonts w:asciiTheme="majorHAnsi" w:eastAsia="Times New Roman" w:hAnsiTheme="majorHAnsi" w:cs="Times New Roman"/>
          <w:b/>
          <w:bCs/>
          <w:color w:val="000000" w:themeColor="text1"/>
          <w:lang w:eastAsia="cs-CZ"/>
        </w:rPr>
        <w:t>extID</w:t>
      </w:r>
      <w:proofErr w:type="spellEnd"/>
      <w:r w:rsidR="00064D2F" w:rsidRPr="00064D2F">
        <w:rPr>
          <w:rFonts w:asciiTheme="majorHAnsi" w:eastAsia="Times New Roman" w:hAnsiTheme="majorHAnsi" w:cs="Times New Roman"/>
          <w:b/>
          <w:bCs/>
          <w:color w:val="000000" w:themeColor="text1"/>
          <w:lang w:eastAsia="cs-CZ"/>
        </w:rPr>
        <w:t xml:space="preserve"> 0000 8201 0385</w:t>
      </w:r>
      <w:r w:rsidR="0006680C" w:rsidRPr="0006680C">
        <w:rPr>
          <w:rFonts w:asciiTheme="majorHAnsi" w:eastAsia="Times New Roman" w:hAnsiTheme="majorHAnsi" w:cs="Times New Roman"/>
          <w:b/>
          <w:bCs/>
          <w:color w:val="000000" w:themeColor="text1"/>
          <w:lang w:eastAsia="cs-CZ"/>
        </w:rPr>
        <w:t>)</w:t>
      </w:r>
      <w:r w:rsidR="0008743A" w:rsidRPr="0008743A">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rsidTr="00C17E0F">
        <w:tc>
          <w:tcPr>
            <w:tcW w:w="9639" w:type="dxa"/>
            <w:tcBorders>
              <w:top w:val="nil"/>
              <w:left w:val="nil"/>
              <w:bottom w:val="nil"/>
              <w:right w:val="nil"/>
            </w:tcBorders>
            <w:shd w:val="clear" w:color="auto" w:fill="DBE5F1" w:themeFill="accent1" w:themeFillTint="33"/>
          </w:tcPr>
          <w:p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rsidR="00171A97" w:rsidRPr="002F3B51" w:rsidRDefault="00171A97" w:rsidP="00171A97">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státní službě dokládá příslušnými listinami, tj. průkazem totožnosti 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něhož je zřejmé státní občanství žadatele. Nejpozději před konáním pohovoru je třeba doložit příslušnou listinu, kterou bude státní občanství žadatele 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Pr>
          <w:rFonts w:asciiTheme="majorHAnsi" w:hAnsiTheme="majorHAnsi" w:cs="Times New Roman"/>
        </w:rPr>
        <w:t>,</w:t>
      </w:r>
    </w:p>
    <w:p w:rsidR="00171A97" w:rsidRPr="00E835B5" w:rsidRDefault="00171A97" w:rsidP="00171A97">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rsidR="00171A97" w:rsidRPr="002A7EAB" w:rsidRDefault="00171A97" w:rsidP="00171A97">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lastRenderedPageBreak/>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se podle § 26 odst. </w:t>
      </w:r>
      <w:r>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Pr>
          <w:rFonts w:asciiTheme="majorHAnsi" w:hAnsiTheme="majorHAnsi" w:cs="Times New Roman"/>
        </w:rPr>
        <w:t xml:space="preserve">. Toto prohlášení je součástí formuláře žádosti, </w:t>
      </w:r>
    </w:p>
    <w:p w:rsidR="00171A97" w:rsidRPr="002A7EAB" w:rsidRDefault="00171A97" w:rsidP="00171A97">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Služební orgán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státním občanem České republiky, 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Pr="002A7EAB">
        <w:rPr>
          <w:rFonts w:asciiTheme="majorHAnsi" w:hAnsiTheme="majorHAnsi" w:cs="Times New Roman"/>
          <w:color w:val="000000" w:themeColor="text1"/>
        </w:rPr>
        <w:t>,</w:t>
      </w:r>
    </w:p>
    <w:p w:rsidR="00171A97" w:rsidRPr="002A7EAB" w:rsidRDefault="00171A97" w:rsidP="00171A97">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Pr>
          <w:rFonts w:asciiTheme="majorHAnsi" w:eastAsia="Times New Roman" w:hAnsiTheme="majorHAnsi" w:cs="Times New Roman"/>
          <w:b/>
          <w:lang w:eastAsia="cs-CZ"/>
        </w:rPr>
        <w:t xml:space="preserve"> bakalářském nebo </w:t>
      </w:r>
      <w:r w:rsidRPr="002A7EAB">
        <w:rPr>
          <w:rFonts w:asciiTheme="majorHAnsi" w:eastAsia="Times New Roman" w:hAnsiTheme="majorHAnsi" w:cs="Times New Roman"/>
          <w:b/>
          <w:lang w:eastAsia="cs-CZ"/>
        </w:rPr>
        <w:t>magisterském</w:t>
      </w:r>
      <w:r>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rsidR="00171A97" w:rsidRPr="002A7EAB" w:rsidRDefault="00171A97" w:rsidP="00171A97">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rsidR="00171A97" w:rsidRPr="002A7EAB" w:rsidRDefault="00171A97" w:rsidP="00171A97">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rsidR="00171A97" w:rsidRPr="002A7EAB" w:rsidRDefault="00171A97" w:rsidP="00171A97">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w:t>
      </w:r>
      <w:r>
        <w:rPr>
          <w:rFonts w:asciiTheme="majorHAnsi" w:eastAsia="Times New Roman" w:hAnsiTheme="majorHAnsi" w:cs="Times New Roman"/>
          <w:lang w:eastAsia="cs-CZ"/>
        </w:rPr>
        <w:t>věta druhá</w:t>
      </w:r>
      <w:r w:rsidRPr="002A7EAB">
        <w:rPr>
          <w:rFonts w:asciiTheme="majorHAnsi" w:eastAsia="Times New Roman" w:hAnsiTheme="majorHAnsi" w:cs="Times New Roman"/>
          <w:lang w:eastAsia="cs-CZ"/>
        </w:rPr>
        <w:t xml:space="preserve"> zákona o státní službě</w:t>
      </w:r>
      <w:r>
        <w:rPr>
          <w:rFonts w:asciiTheme="majorHAnsi" w:eastAsia="Times New Roman" w:hAnsiTheme="majorHAnsi" w:cs="Times New Roman"/>
          <w:lang w:eastAsia="cs-CZ"/>
        </w:rPr>
        <w:t xml:space="preserve"> </w:t>
      </w:r>
      <w:r w:rsidRPr="002A7EAB">
        <w:rPr>
          <w:rFonts w:asciiTheme="majorHAnsi" w:eastAsia="Times New Roman" w:hAnsiTheme="majorHAnsi" w:cs="Times New Roman"/>
          <w:lang w:eastAsia="cs-CZ"/>
        </w:rPr>
        <w:t>doložit pouze písemné čestné prohlášení o dosaženém vzdělání</w:t>
      </w:r>
      <w:r>
        <w:rPr>
          <w:rFonts w:asciiTheme="majorHAnsi" w:eastAsia="Times New Roman" w:hAnsiTheme="majorHAnsi" w:cs="Times New Roman"/>
          <w:lang w:eastAsia="cs-CZ"/>
        </w:rPr>
        <w:t>. Písemné čestné prohlášení o dosaženém vzdělání je součástí formuláře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Pr>
          <w:rFonts w:asciiTheme="majorHAnsi" w:eastAsia="Times New Roman" w:hAnsiTheme="majorHAnsi" w:cs="Times New Roman"/>
          <w:lang w:eastAsia="cs-CZ"/>
        </w:rPr>
        <w:t>,</w:t>
      </w:r>
      <w:r w:rsidRPr="002A7EAB">
        <w:rPr>
          <w:rFonts w:asciiTheme="majorHAnsi" w:hAnsiTheme="majorHAnsi" w:cs="Times New Roman"/>
        </w:rPr>
        <w:t> </w:t>
      </w:r>
    </w:p>
    <w:p w:rsidR="00171A97" w:rsidRPr="002A7EAB" w:rsidRDefault="00171A97" w:rsidP="00171A97">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Pr>
          <w:rFonts w:asciiTheme="majorHAnsi" w:hAnsiTheme="majorHAnsi" w:cs="Times New Roman"/>
        </w:rPr>
        <w:t xml:space="preserve">, které je součástí formuláře žádosti. </w:t>
      </w:r>
      <w:r w:rsidRPr="00200424">
        <w:rPr>
          <w:rFonts w:asciiTheme="majorHAnsi" w:hAnsiTheme="majorHAnsi" w:cs="Times New Roman"/>
        </w:rPr>
        <w:t>U nejvhodnějšího žadatele vybraného podle §</w:t>
      </w:r>
      <w:r>
        <w:rPr>
          <w:rFonts w:asciiTheme="majorHAnsi" w:hAnsiTheme="majorHAnsi" w:cs="Times New Roman"/>
        </w:rPr>
        <w:t> </w:t>
      </w:r>
      <w:r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Pr>
          <w:rFonts w:asciiTheme="majorHAnsi" w:hAnsiTheme="majorHAnsi" w:cs="Times New Roman"/>
        </w:rPr>
        <w:t xml:space="preserve"> a</w:t>
      </w:r>
    </w:p>
    <w:p w:rsidR="00171A97" w:rsidRDefault="00171A97" w:rsidP="00171A97">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Pr="00427E40">
        <w:rPr>
          <w:rFonts w:asciiTheme="majorHAnsi" w:hAnsiTheme="majorHAnsi"/>
          <w:iCs/>
          <w:sz w:val="18"/>
          <w:szCs w:val="18"/>
        </w:rPr>
        <w:t xml:space="preserve">. </w:t>
      </w:r>
      <w:r w:rsidRPr="006F438A">
        <w:rPr>
          <w:rFonts w:asciiTheme="majorHAnsi" w:eastAsia="Times New Roman" w:hAnsiTheme="majorHAnsi" w:cs="Times New Roman"/>
          <w:lang w:eastAsia="cs-CZ"/>
        </w:rPr>
        <w:t xml:space="preserve">Splnění </w:t>
      </w:r>
      <w:r>
        <w:rPr>
          <w:rFonts w:asciiTheme="majorHAnsi" w:eastAsia="Times New Roman" w:hAnsiTheme="majorHAnsi" w:cs="Times New Roman"/>
          <w:lang w:eastAsia="cs-CZ"/>
        </w:rPr>
        <w:t xml:space="preserve">tohoto </w:t>
      </w:r>
      <w:r w:rsidRPr="006F438A">
        <w:rPr>
          <w:rFonts w:asciiTheme="majorHAnsi" w:eastAsia="Times New Roman" w:hAnsiTheme="majorHAnsi" w:cs="Times New Roman"/>
          <w:lang w:eastAsia="cs-CZ"/>
        </w:rPr>
        <w:t xml:space="preserve">předpokladu se </w:t>
      </w:r>
      <w:r>
        <w:rPr>
          <w:rFonts w:asciiTheme="majorHAnsi" w:eastAsia="Times New Roman" w:hAnsiTheme="majorHAnsi" w:cs="Times New Roman"/>
          <w:lang w:eastAsia="cs-CZ"/>
        </w:rPr>
        <w:t xml:space="preserve">podle § </w:t>
      </w:r>
      <w:r w:rsidRPr="002A7EAB">
        <w:rPr>
          <w:rFonts w:asciiTheme="majorHAnsi" w:hAnsiTheme="majorHAnsi" w:cs="Times New Roman"/>
        </w:rPr>
        <w:t xml:space="preserve">26 odst. </w:t>
      </w:r>
      <w:r>
        <w:rPr>
          <w:rFonts w:asciiTheme="majorHAnsi" w:hAnsiTheme="majorHAnsi" w:cs="Times New Roman"/>
        </w:rPr>
        <w:t>5</w:t>
      </w:r>
      <w:r w:rsidRPr="002A7EAB">
        <w:rPr>
          <w:rFonts w:asciiTheme="majorHAnsi" w:hAnsiTheme="majorHAnsi" w:cs="Times New Roman"/>
        </w:rPr>
        <w:t xml:space="preserve"> zákona o státní službě </w:t>
      </w:r>
      <w:r w:rsidRPr="006F438A">
        <w:rPr>
          <w:rFonts w:asciiTheme="majorHAnsi" w:eastAsia="Times New Roman" w:hAnsiTheme="majorHAnsi" w:cs="Times New Roman"/>
          <w:lang w:eastAsia="cs-CZ"/>
        </w:rPr>
        <w:t>dokládá písemným čestným prohlášením.</w:t>
      </w:r>
    </w:p>
    <w:p w:rsidR="006459B1" w:rsidRPr="007F3DAB" w:rsidRDefault="007F3DAB" w:rsidP="001F1F40">
      <w:pPr>
        <w:numPr>
          <w:ilvl w:val="0"/>
          <w:numId w:val="7"/>
        </w:numPr>
        <w:spacing w:before="120" w:after="120" w:line="240" w:lineRule="auto"/>
        <w:jc w:val="both"/>
        <w:rPr>
          <w:rFonts w:asciiTheme="majorHAnsi" w:eastAsia="Times New Roman" w:hAnsiTheme="majorHAnsi" w:cs="Times New Roman"/>
          <w:lang w:eastAsia="cs-CZ"/>
        </w:rPr>
      </w:pPr>
      <w:r w:rsidRPr="007F3DAB">
        <w:rPr>
          <w:rFonts w:asciiTheme="majorHAnsi" w:eastAsia="Times New Roman" w:hAnsiTheme="majorHAnsi" w:cs="Times New Roman"/>
        </w:rPr>
        <w:t xml:space="preserve">Žadatel musí také splňovat jiný požadavek stanovený podle § 25 odst. 3 písm. d) zákona o státní službě služebním předpisem státního tajemníka v Ministerstvu obrany č. 1/2025, kterým se stanoví vnitřní systemizace a organizační struktura pro rok 2025 (SP-01/2025-ST), ve znění </w:t>
      </w:r>
      <w:r w:rsidR="004931AB">
        <w:rPr>
          <w:rFonts w:asciiTheme="majorHAnsi" w:eastAsia="Times New Roman" w:hAnsiTheme="majorHAnsi" w:cs="Times New Roman"/>
        </w:rPr>
        <w:t>pozdějších služebních předpisů</w:t>
      </w:r>
      <w:r w:rsidRPr="007F3DAB">
        <w:rPr>
          <w:rFonts w:asciiTheme="majorHAnsi" w:eastAsia="Times New Roman" w:hAnsiTheme="majorHAnsi" w:cs="Times New Roman"/>
        </w:rPr>
        <w:t xml:space="preserve">, kterým je </w:t>
      </w:r>
      <w:r w:rsidR="00BB26F1">
        <w:rPr>
          <w:rFonts w:asciiTheme="majorHAnsi" w:eastAsia="Times New Roman" w:hAnsiTheme="majorHAnsi" w:cs="Times New Roman"/>
        </w:rPr>
        <w:t xml:space="preserve">způsobilost mít </w:t>
      </w:r>
      <w:r w:rsidRPr="007F3DAB">
        <w:rPr>
          <w:rFonts w:asciiTheme="majorHAnsi" w:eastAsia="Times New Roman" w:hAnsiTheme="majorHAnsi" w:cs="Times New Roman"/>
        </w:rPr>
        <w:t xml:space="preserve">přístup k utajovaným informacím podle zákona č. 412/2005 Sb., o ochraně utajovaných informací a o bezpečnostní způsobilosti, ve znění pozdějších předpisů, na stupeň utajení </w:t>
      </w:r>
      <w:r w:rsidRPr="007F3DAB">
        <w:rPr>
          <w:rFonts w:asciiTheme="majorHAnsi" w:eastAsia="Times New Roman" w:hAnsiTheme="majorHAnsi" w:cs="Times New Roman"/>
          <w:b/>
        </w:rPr>
        <w:t>VYHRAZENÉ</w:t>
      </w:r>
      <w:r w:rsidRPr="007F3DAB">
        <w:rPr>
          <w:rFonts w:asciiTheme="majorHAnsi" w:eastAsia="Times New Roman" w:hAnsiTheme="majorHAnsi" w:cs="Times New Roman"/>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rsidTr="009A10D9">
        <w:tc>
          <w:tcPr>
            <w:tcW w:w="9629" w:type="dxa"/>
            <w:shd w:val="clear" w:color="auto" w:fill="DBE5F1" w:themeFill="accent1" w:themeFillTint="33"/>
          </w:tcPr>
          <w:p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rsidR="009A10D9"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p w:rsidR="007F3DAB" w:rsidRDefault="007F3DAB" w:rsidP="007F3DAB">
      <w:pPr>
        <w:tabs>
          <w:tab w:val="left" w:pos="567"/>
        </w:tabs>
        <w:spacing w:before="120" w:after="120" w:line="240" w:lineRule="auto"/>
        <w:jc w:val="both"/>
        <w:rPr>
          <w:rFonts w:asciiTheme="majorHAnsi" w:eastAsia="Times New Roman" w:hAnsiTheme="majorHAnsi" w:cs="Times New Roman"/>
          <w:lang w:eastAsia="cs-CZ"/>
        </w:rPr>
      </w:pPr>
    </w:p>
    <w:p w:rsidR="00BB26F1" w:rsidRDefault="00BB26F1" w:rsidP="007F3DAB">
      <w:pPr>
        <w:tabs>
          <w:tab w:val="left" w:pos="567"/>
        </w:tabs>
        <w:spacing w:before="120" w:after="120" w:line="240" w:lineRule="auto"/>
        <w:jc w:val="both"/>
        <w:rPr>
          <w:rFonts w:asciiTheme="majorHAnsi" w:eastAsia="Times New Roman" w:hAnsiTheme="majorHAnsi" w:cs="Times New Roman"/>
          <w:lang w:eastAsia="cs-CZ"/>
        </w:rPr>
      </w:pPr>
    </w:p>
    <w:p w:rsidR="00BB26F1" w:rsidRPr="007F3DAB" w:rsidRDefault="00BB26F1" w:rsidP="007F3DAB">
      <w:pPr>
        <w:tabs>
          <w:tab w:val="left" w:pos="567"/>
        </w:tabs>
        <w:spacing w:before="120" w:after="120" w:line="240" w:lineRule="auto"/>
        <w:jc w:val="both"/>
        <w:rPr>
          <w:rFonts w:asciiTheme="majorHAnsi" w:eastAsia="Times New Roman" w:hAnsiTheme="majorHAnsi" w:cs="Times New Roman"/>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rsidTr="00C17E0F">
        <w:tc>
          <w:tcPr>
            <w:tcW w:w="9629" w:type="dxa"/>
            <w:shd w:val="clear" w:color="auto" w:fill="DBE5F1" w:themeFill="accent1" w:themeFillTint="33"/>
          </w:tcPr>
          <w:p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lastRenderedPageBreak/>
              <w:t>7</w:t>
            </w:r>
            <w:r w:rsidRPr="00C17E0F">
              <w:rPr>
                <w:rFonts w:asciiTheme="majorHAnsi" w:eastAsia="Times New Roman" w:hAnsiTheme="majorHAnsi" w:cs="Times New Roman"/>
                <w:b/>
                <w:lang w:eastAsia="cs-CZ"/>
              </w:rPr>
              <w:t xml:space="preserve">. Údaje o pohovoru </w:t>
            </w:r>
          </w:p>
        </w:tc>
      </w:tr>
    </w:tbl>
    <w:p w:rsidR="00ED7EF7" w:rsidRPr="002A7EAB" w:rsidRDefault="00ED7EF7" w:rsidP="00ED7EF7">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Pr="002A7EAB">
        <w:rPr>
          <w:rFonts w:asciiTheme="majorHAnsi" w:eastAsia="Times New Roman" w:hAnsiTheme="majorHAnsi" w:cs="Times New Roman"/>
        </w:rPr>
        <w:t>Pohovor před výběrovou komisí může být proveden pomocí jiných technických prostředků, např. videokonference.</w:t>
      </w:r>
    </w:p>
    <w:p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rsidR="00546C7C" w:rsidRDefault="00546C7C" w:rsidP="00C17E0F">
      <w:pPr>
        <w:widowControl w:val="0"/>
        <w:spacing w:after="0" w:line="240" w:lineRule="auto"/>
        <w:ind w:left="5670"/>
        <w:jc w:val="center"/>
        <w:rPr>
          <w:rFonts w:asciiTheme="majorHAnsi" w:hAnsiTheme="majorHAnsi" w:cs="Times New Roman"/>
        </w:rPr>
      </w:pP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bookmarkStart w:id="0" w:name="_GoBack"/>
      <w:bookmarkEnd w:id="0"/>
    </w:p>
    <w:p w:rsidR="00C17E0F" w:rsidRDefault="00C17E0F" w:rsidP="00C17E0F">
      <w:pPr>
        <w:widowControl w:val="0"/>
        <w:spacing w:before="120" w:after="0" w:line="240" w:lineRule="auto"/>
        <w:contextualSpacing/>
        <w:jc w:val="both"/>
        <w:rPr>
          <w:rFonts w:asciiTheme="majorHAnsi" w:hAnsiTheme="majorHAnsi" w:cs="Times New Roman"/>
        </w:rPr>
      </w:pPr>
    </w:p>
    <w:p w:rsidR="00BB4C8D" w:rsidRDefault="00BB4C8D"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6E4E7C" w:rsidRDefault="006E4E7C" w:rsidP="00EA57C7">
      <w:pPr>
        <w:spacing w:before="120" w:after="0" w:line="240" w:lineRule="auto"/>
        <w:jc w:val="both"/>
        <w:rPr>
          <w:rFonts w:asciiTheme="majorHAnsi" w:hAnsiTheme="majorHAnsi" w:cs="Times New Roman"/>
        </w:rPr>
      </w:pPr>
    </w:p>
    <w:p w:rsidR="00004856" w:rsidRDefault="00004856"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492CB2" w:rsidRDefault="00492CB2" w:rsidP="00EA57C7">
      <w:pPr>
        <w:spacing w:before="120" w:after="0" w:line="240" w:lineRule="auto"/>
        <w:jc w:val="both"/>
        <w:rPr>
          <w:rFonts w:asciiTheme="majorHAnsi" w:hAnsiTheme="majorHAnsi" w:cs="Times New Roman"/>
        </w:rPr>
      </w:pPr>
    </w:p>
    <w:p w:rsidR="0023580E" w:rsidRDefault="0023580E" w:rsidP="00EA57C7">
      <w:pPr>
        <w:spacing w:before="120" w:after="0" w:line="240" w:lineRule="auto"/>
        <w:jc w:val="both"/>
        <w:rPr>
          <w:rFonts w:asciiTheme="majorHAnsi" w:hAnsiTheme="majorHAnsi" w:cs="Times New Roman"/>
        </w:rPr>
      </w:pPr>
    </w:p>
    <w:p w:rsidR="00A670C0" w:rsidRDefault="00A670C0" w:rsidP="00EA57C7">
      <w:pPr>
        <w:spacing w:before="120" w:after="0" w:line="240" w:lineRule="auto"/>
        <w:jc w:val="both"/>
        <w:rPr>
          <w:rFonts w:asciiTheme="majorHAnsi" w:hAnsiTheme="majorHAnsi" w:cs="Times New Roman"/>
        </w:rPr>
      </w:pPr>
    </w:p>
    <w:p w:rsidR="00171A97" w:rsidRDefault="00171A97" w:rsidP="00EA57C7">
      <w:pPr>
        <w:spacing w:before="120" w:after="0" w:line="240" w:lineRule="auto"/>
        <w:jc w:val="both"/>
        <w:rPr>
          <w:rFonts w:asciiTheme="majorHAnsi" w:hAnsiTheme="majorHAnsi" w:cs="Times New Roman"/>
        </w:rPr>
      </w:pPr>
    </w:p>
    <w:p w:rsidR="006C1F99" w:rsidRDefault="006C1F99" w:rsidP="00EA57C7">
      <w:pPr>
        <w:spacing w:before="120" w:after="0" w:line="240" w:lineRule="auto"/>
        <w:jc w:val="both"/>
        <w:rPr>
          <w:rFonts w:asciiTheme="majorHAnsi" w:hAnsiTheme="majorHAnsi" w:cs="Times New Roman"/>
        </w:rPr>
      </w:pPr>
    </w:p>
    <w:p w:rsidR="007F3DAB" w:rsidRDefault="007F3DAB" w:rsidP="00EA57C7">
      <w:pPr>
        <w:spacing w:before="120" w:after="0" w:line="240" w:lineRule="auto"/>
        <w:jc w:val="both"/>
        <w:rPr>
          <w:rFonts w:asciiTheme="majorHAnsi" w:hAnsiTheme="majorHAnsi" w:cs="Times New Roman"/>
        </w:rPr>
      </w:pPr>
    </w:p>
    <w:p w:rsidR="007F3DAB" w:rsidRDefault="007F3DAB" w:rsidP="00EA57C7">
      <w:pPr>
        <w:spacing w:before="120" w:after="0" w:line="240" w:lineRule="auto"/>
        <w:jc w:val="both"/>
        <w:rPr>
          <w:rFonts w:asciiTheme="majorHAnsi" w:hAnsiTheme="majorHAnsi" w:cs="Times New Roman"/>
        </w:rPr>
      </w:pPr>
    </w:p>
    <w:p w:rsidR="007F3DAB" w:rsidRDefault="007F3DAB" w:rsidP="00EA57C7">
      <w:pPr>
        <w:spacing w:before="120" w:after="0" w:line="240" w:lineRule="auto"/>
        <w:jc w:val="both"/>
        <w:rPr>
          <w:rFonts w:asciiTheme="majorHAnsi" w:hAnsiTheme="majorHAnsi" w:cs="Times New Roman"/>
        </w:rPr>
      </w:pPr>
    </w:p>
    <w:p w:rsidR="007F3DAB" w:rsidRDefault="007F3DAB" w:rsidP="00EA57C7">
      <w:pPr>
        <w:spacing w:before="120" w:after="0" w:line="240" w:lineRule="auto"/>
        <w:jc w:val="both"/>
        <w:rPr>
          <w:rFonts w:asciiTheme="majorHAnsi" w:hAnsiTheme="majorHAnsi" w:cs="Times New Roman"/>
        </w:rPr>
      </w:pPr>
    </w:p>
    <w:p w:rsidR="007F3DAB" w:rsidRDefault="007F3DAB" w:rsidP="00EA57C7">
      <w:pPr>
        <w:spacing w:before="120" w:after="0" w:line="240" w:lineRule="auto"/>
        <w:jc w:val="both"/>
        <w:rPr>
          <w:rFonts w:asciiTheme="majorHAnsi" w:hAnsiTheme="majorHAnsi" w:cs="Times New Roman"/>
        </w:rPr>
      </w:pPr>
    </w:p>
    <w:p w:rsidR="007F3DAB" w:rsidRDefault="007F3DAB" w:rsidP="00EA57C7">
      <w:pPr>
        <w:spacing w:before="120" w:after="0" w:line="240" w:lineRule="auto"/>
        <w:jc w:val="both"/>
        <w:rPr>
          <w:rFonts w:asciiTheme="majorHAnsi" w:hAnsiTheme="majorHAnsi" w:cs="Times New Roman"/>
        </w:rPr>
      </w:pPr>
    </w:p>
    <w:p w:rsidR="00BB26F1" w:rsidRDefault="00BB26F1" w:rsidP="00EA57C7">
      <w:pPr>
        <w:spacing w:before="120" w:after="0" w:line="240" w:lineRule="auto"/>
        <w:jc w:val="both"/>
        <w:rPr>
          <w:rFonts w:asciiTheme="majorHAnsi" w:hAnsiTheme="majorHAnsi" w:cs="Times New Roman"/>
        </w:rPr>
      </w:pPr>
    </w:p>
    <w:p w:rsidR="003F469F" w:rsidRDefault="003F469F" w:rsidP="00EA57C7">
      <w:pPr>
        <w:spacing w:before="120" w:after="0" w:line="240" w:lineRule="auto"/>
        <w:jc w:val="both"/>
        <w:rPr>
          <w:rFonts w:asciiTheme="majorHAnsi" w:hAnsiTheme="majorHAnsi" w:cs="Times New Roman"/>
        </w:rPr>
      </w:pPr>
    </w:p>
    <w:p w:rsidR="007F3DAB" w:rsidRDefault="007F3DAB" w:rsidP="00EA57C7">
      <w:pPr>
        <w:spacing w:before="120" w:after="0" w:line="240" w:lineRule="auto"/>
        <w:jc w:val="both"/>
        <w:rPr>
          <w:rFonts w:asciiTheme="majorHAnsi" w:hAnsiTheme="majorHAnsi" w:cs="Times New Roman"/>
        </w:rPr>
      </w:pPr>
    </w:p>
    <w:p w:rsidR="007F3DAB" w:rsidRDefault="007F3DAB" w:rsidP="00EA57C7">
      <w:pPr>
        <w:spacing w:before="120" w:after="0" w:line="240" w:lineRule="auto"/>
        <w:jc w:val="both"/>
        <w:rPr>
          <w:rFonts w:asciiTheme="majorHAnsi" w:hAnsiTheme="majorHAnsi" w:cs="Times New Roman"/>
        </w:rPr>
      </w:pPr>
    </w:p>
    <w:p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1367CE" w:rsidRPr="00840DB6">
          <w:rPr>
            <w:rStyle w:val="Hypertextovodkaz"/>
            <w:rFonts w:asciiTheme="majorHAnsi" w:eastAsia="Times New Roman" w:hAnsiTheme="majorHAnsi" w:cs="Times New Roman"/>
            <w:lang w:eastAsia="cs-CZ"/>
          </w:rPr>
          <w:t>daniel.manas@mo.gov.cz</w:t>
        </w:r>
      </w:hyperlink>
    </w:p>
    <w:p w:rsidR="00EA57C7" w:rsidRDefault="00EA57C7" w:rsidP="00C17E0F">
      <w:pPr>
        <w:widowControl w:val="0"/>
        <w:spacing w:before="120" w:after="0" w:line="240" w:lineRule="auto"/>
        <w:contextualSpacing/>
        <w:jc w:val="both"/>
        <w:rPr>
          <w:rFonts w:asciiTheme="majorHAnsi" w:hAnsiTheme="majorHAnsi" w:cs="Times New Roman"/>
        </w:rPr>
      </w:pPr>
    </w:p>
    <w:p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rsidR="005F1BE3" w:rsidRDefault="006E4E7C" w:rsidP="00526081">
      <w:pPr>
        <w:spacing w:before="120" w:after="12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696F9D" w:rsidRPr="00526081">
          <w:rPr>
            <w:rStyle w:val="Hypertextovodkaz"/>
            <w:rFonts w:asciiTheme="majorHAnsi" w:eastAsiaTheme="minorEastAsia" w:hAnsiTheme="majorHAnsi" w:cs="Times New Roman"/>
            <w:lang w:eastAsia="cs-CZ"/>
          </w:rPr>
          <w:t>statnisluzba.mo.gov.cz</w:t>
        </w:r>
      </w:hyperlink>
      <w:r w:rsidR="00696F9D" w:rsidRPr="00526081">
        <w:rPr>
          <w:rStyle w:val="Hypertextovodkaz"/>
          <w:rFonts w:asciiTheme="majorHAnsi" w:eastAsiaTheme="minorEastAsia" w:hAnsiTheme="majorHAnsi" w:cs="Times New Roman"/>
          <w:lang w:eastAsia="cs-CZ"/>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rsidTr="00216AE7">
        <w:tc>
          <w:tcPr>
            <w:tcW w:w="9629" w:type="dxa"/>
            <w:shd w:val="clear" w:color="auto" w:fill="DBE5F1" w:themeFill="accent1" w:themeFillTint="33"/>
          </w:tcPr>
          <w:p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Nemá-li státní zaměstnanec datovou schránku zřízenu, doručuje se mu na elektronickou adresu pro doručování (e-mail). </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rsid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V případě doručování do datové schránky platí, že nepřihlásí-li se do datové schránky osoba, která má s ohledem na rozsah svého oprávnění přístup k dodané písemnosti, ve lhůtě 5 dnů ode dne, kdy byla písemnost dodána do datové schránky, je písemnost doručena pátým dnem ode dne, kdy byla odeslána.</w:t>
      </w:r>
    </w:p>
    <w:p w:rsidR="00ED7EF7" w:rsidRPr="00216AE7" w:rsidRDefault="00ED7EF7" w:rsidP="00ED7EF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rsidR="00ED7EF7" w:rsidRPr="001F4FE4" w:rsidRDefault="00ED7EF7" w:rsidP="00ED7EF7">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pro překážku na jeho vůli nezávislou, pro kterou by nebylo možné provést pohovor v takovém náhradním termínu, aby bylo možné výběrové řízení dokončit ve lhůtě 60 dnů, je třeba souhlas služebního orgánu. </w:t>
      </w:r>
    </w:p>
    <w:p w:rsidR="00ED7EF7" w:rsidRPr="001F4FE4" w:rsidRDefault="00ED7EF7" w:rsidP="001F4FE4">
      <w:pPr>
        <w:spacing w:before="120" w:after="120" w:line="240" w:lineRule="auto"/>
        <w:jc w:val="both"/>
        <w:rPr>
          <w:rFonts w:asciiTheme="majorHAnsi" w:eastAsia="Times New Roman" w:hAnsiTheme="majorHAnsi" w:cs="Times New Roman"/>
          <w:lang w:eastAsia="cs-CZ"/>
        </w:rPr>
      </w:pPr>
    </w:p>
    <w:p w:rsidR="00216AE7" w:rsidRDefault="00216AE7" w:rsidP="00216AE7">
      <w:pPr>
        <w:spacing w:before="120" w:after="120" w:line="240" w:lineRule="auto"/>
        <w:jc w:val="both"/>
      </w:pPr>
      <w:r w:rsidRPr="00216AE7">
        <w:rPr>
          <w:rFonts w:asciiTheme="majorHAnsi" w:eastAsia="Times New Roman" w:hAnsiTheme="majorHAnsi" w:cs="Times New Roman"/>
          <w:lang w:eastAsia="cs-CZ"/>
        </w:rPr>
        <w:t xml:space="preserve"> </w:t>
      </w: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351" w:rsidRDefault="00F35351">
      <w:pPr>
        <w:spacing w:after="0" w:line="240" w:lineRule="auto"/>
      </w:pPr>
      <w:r>
        <w:separator/>
      </w:r>
    </w:p>
  </w:endnote>
  <w:endnote w:type="continuationSeparator" w:id="0">
    <w:p w:rsidR="00F35351" w:rsidRDefault="00F3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873E3" w:rsidRDefault="00BF0AE0">
    <w:pPr>
      <w:pStyle w:val="Zpat"/>
      <w:jc w:val="center"/>
    </w:pPr>
  </w:p>
  <w:p w:rsidR="001873E3" w:rsidRDefault="00BF0A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351" w:rsidRDefault="00F35351">
      <w:pPr>
        <w:spacing w:after="0" w:line="240" w:lineRule="auto"/>
      </w:pPr>
      <w:r>
        <w:separator/>
      </w:r>
    </w:p>
  </w:footnote>
  <w:footnote w:type="continuationSeparator" w:id="0">
    <w:p w:rsidR="00F35351" w:rsidRDefault="00F35351">
      <w:pPr>
        <w:spacing w:after="0" w:line="240" w:lineRule="auto"/>
      </w:pPr>
      <w:r>
        <w:continuationSeparator/>
      </w:r>
    </w:p>
  </w:footnote>
  <w:footnote w:id="1">
    <w:p w:rsidR="008F6063" w:rsidRPr="001F67DC" w:rsidRDefault="008F6063" w:rsidP="008F6063">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rsidR="004931AB" w:rsidRDefault="004931AB" w:rsidP="004931AB">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p>
  </w:footnote>
  <w:footnote w:id="3">
    <w:p w:rsidR="00171A97" w:rsidRDefault="00171A97" w:rsidP="00171A97">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Pr>
          <w:rFonts w:asciiTheme="majorHAnsi" w:hAnsiTheme="majorHAnsi"/>
          <w:i/>
          <w:iCs/>
          <w:sz w:val="18"/>
          <w:szCs w:val="18"/>
        </w:rPr>
        <w:t xml:space="preserve">zákona o státní službě </w:t>
      </w:r>
      <w:r w:rsidRPr="006F438A">
        <w:rPr>
          <w:rFonts w:asciiTheme="majorHAnsi" w:hAnsiTheme="majorHAnsi"/>
          <w:i/>
          <w:iCs/>
          <w:sz w:val="18"/>
          <w:szCs w:val="18"/>
        </w:rPr>
        <w:t xml:space="preserve">nebo bezprostředně nadřízený představený podle § </w:t>
      </w:r>
      <w:proofErr w:type="gramStart"/>
      <w:r w:rsidRPr="006F438A">
        <w:rPr>
          <w:rFonts w:asciiTheme="majorHAnsi" w:hAnsiTheme="majorHAnsi"/>
          <w:i/>
          <w:iCs/>
          <w:sz w:val="18"/>
          <w:szCs w:val="18"/>
        </w:rPr>
        <w:t>28a</w:t>
      </w:r>
      <w:proofErr w:type="gramEnd"/>
      <w:r w:rsidRPr="006F438A">
        <w:rPr>
          <w:rFonts w:asciiTheme="majorHAnsi" w:hAnsiTheme="majorHAnsi"/>
          <w:i/>
          <w:iCs/>
          <w:sz w:val="18"/>
          <w:szCs w:val="18"/>
        </w:rPr>
        <w:t xml:space="preserve"> </w:t>
      </w:r>
      <w:r>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V životopisu žadatel uvede údaje o své dosavadní praxi a o znalostech a dovednostech týkajících se služebního místa, 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50B8C"/>
    <w:rsid w:val="000539A9"/>
    <w:rsid w:val="00055102"/>
    <w:rsid w:val="0005707D"/>
    <w:rsid w:val="0006197A"/>
    <w:rsid w:val="0006351D"/>
    <w:rsid w:val="00064D2F"/>
    <w:rsid w:val="00065CA4"/>
    <w:rsid w:val="000664EE"/>
    <w:rsid w:val="0006680C"/>
    <w:rsid w:val="0006697C"/>
    <w:rsid w:val="000670BB"/>
    <w:rsid w:val="00070164"/>
    <w:rsid w:val="0007117F"/>
    <w:rsid w:val="0007144C"/>
    <w:rsid w:val="00071BC0"/>
    <w:rsid w:val="00073487"/>
    <w:rsid w:val="00073B0D"/>
    <w:rsid w:val="000743B4"/>
    <w:rsid w:val="00074609"/>
    <w:rsid w:val="000755CF"/>
    <w:rsid w:val="0007709E"/>
    <w:rsid w:val="000800E5"/>
    <w:rsid w:val="0008083A"/>
    <w:rsid w:val="00082DBC"/>
    <w:rsid w:val="000837DA"/>
    <w:rsid w:val="000863D7"/>
    <w:rsid w:val="0008743A"/>
    <w:rsid w:val="0009478C"/>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1B1C"/>
    <w:rsid w:val="000C242B"/>
    <w:rsid w:val="000C2D13"/>
    <w:rsid w:val="000C30EA"/>
    <w:rsid w:val="000C48E0"/>
    <w:rsid w:val="000C702E"/>
    <w:rsid w:val="000D0AF9"/>
    <w:rsid w:val="000D1466"/>
    <w:rsid w:val="000D14FD"/>
    <w:rsid w:val="000D21EE"/>
    <w:rsid w:val="000D4EC7"/>
    <w:rsid w:val="000D7F3F"/>
    <w:rsid w:val="000E25FC"/>
    <w:rsid w:val="000E3B3D"/>
    <w:rsid w:val="000E435D"/>
    <w:rsid w:val="000E4B26"/>
    <w:rsid w:val="000F04CC"/>
    <w:rsid w:val="000F2CA8"/>
    <w:rsid w:val="000F5026"/>
    <w:rsid w:val="000F5C69"/>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67CE"/>
    <w:rsid w:val="001373AB"/>
    <w:rsid w:val="00137CB4"/>
    <w:rsid w:val="00140A59"/>
    <w:rsid w:val="00145A6F"/>
    <w:rsid w:val="00145D11"/>
    <w:rsid w:val="00145D2F"/>
    <w:rsid w:val="00147B95"/>
    <w:rsid w:val="00154893"/>
    <w:rsid w:val="00155702"/>
    <w:rsid w:val="00156686"/>
    <w:rsid w:val="0015684F"/>
    <w:rsid w:val="00161C4E"/>
    <w:rsid w:val="00162011"/>
    <w:rsid w:val="001634C5"/>
    <w:rsid w:val="00171A97"/>
    <w:rsid w:val="00172E61"/>
    <w:rsid w:val="00175627"/>
    <w:rsid w:val="00176B6A"/>
    <w:rsid w:val="00181DB3"/>
    <w:rsid w:val="00181ED5"/>
    <w:rsid w:val="00183604"/>
    <w:rsid w:val="00183683"/>
    <w:rsid w:val="00185263"/>
    <w:rsid w:val="0018556F"/>
    <w:rsid w:val="00191200"/>
    <w:rsid w:val="00191508"/>
    <w:rsid w:val="00191B93"/>
    <w:rsid w:val="00191F24"/>
    <w:rsid w:val="001932E6"/>
    <w:rsid w:val="00193A38"/>
    <w:rsid w:val="00194435"/>
    <w:rsid w:val="00194F75"/>
    <w:rsid w:val="00195EA5"/>
    <w:rsid w:val="001A0076"/>
    <w:rsid w:val="001A0D88"/>
    <w:rsid w:val="001A267C"/>
    <w:rsid w:val="001A3584"/>
    <w:rsid w:val="001A3C6B"/>
    <w:rsid w:val="001B1CD5"/>
    <w:rsid w:val="001B3E7D"/>
    <w:rsid w:val="001B4459"/>
    <w:rsid w:val="001B7F42"/>
    <w:rsid w:val="001C021C"/>
    <w:rsid w:val="001C0F29"/>
    <w:rsid w:val="001C1536"/>
    <w:rsid w:val="001C334B"/>
    <w:rsid w:val="001C6BF1"/>
    <w:rsid w:val="001C7B75"/>
    <w:rsid w:val="001C7C14"/>
    <w:rsid w:val="001C7DEB"/>
    <w:rsid w:val="001D0937"/>
    <w:rsid w:val="001D1F64"/>
    <w:rsid w:val="001D5EAB"/>
    <w:rsid w:val="001E123F"/>
    <w:rsid w:val="001E310D"/>
    <w:rsid w:val="001E4C02"/>
    <w:rsid w:val="001E5EB6"/>
    <w:rsid w:val="001E62B8"/>
    <w:rsid w:val="001F25C5"/>
    <w:rsid w:val="001F32E5"/>
    <w:rsid w:val="001F4FE4"/>
    <w:rsid w:val="001F67DC"/>
    <w:rsid w:val="00200424"/>
    <w:rsid w:val="00203943"/>
    <w:rsid w:val="002053EC"/>
    <w:rsid w:val="00206AC9"/>
    <w:rsid w:val="00206D9D"/>
    <w:rsid w:val="0020761C"/>
    <w:rsid w:val="00216133"/>
    <w:rsid w:val="00216AE7"/>
    <w:rsid w:val="00216E5C"/>
    <w:rsid w:val="0022291E"/>
    <w:rsid w:val="00222E6E"/>
    <w:rsid w:val="0022520B"/>
    <w:rsid w:val="002306E4"/>
    <w:rsid w:val="00232DD6"/>
    <w:rsid w:val="00232F51"/>
    <w:rsid w:val="0023580E"/>
    <w:rsid w:val="00236C1D"/>
    <w:rsid w:val="00237525"/>
    <w:rsid w:val="00240957"/>
    <w:rsid w:val="002427BA"/>
    <w:rsid w:val="0024707F"/>
    <w:rsid w:val="00247167"/>
    <w:rsid w:val="00247E1F"/>
    <w:rsid w:val="0025149A"/>
    <w:rsid w:val="0025154D"/>
    <w:rsid w:val="00252ACF"/>
    <w:rsid w:val="002532D0"/>
    <w:rsid w:val="00253DA9"/>
    <w:rsid w:val="00260514"/>
    <w:rsid w:val="00260978"/>
    <w:rsid w:val="002628B1"/>
    <w:rsid w:val="00264DA8"/>
    <w:rsid w:val="00267FE5"/>
    <w:rsid w:val="002722A4"/>
    <w:rsid w:val="002739D5"/>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5B7E"/>
    <w:rsid w:val="002E6395"/>
    <w:rsid w:val="002E683D"/>
    <w:rsid w:val="002E6C87"/>
    <w:rsid w:val="002E6F20"/>
    <w:rsid w:val="002E76EA"/>
    <w:rsid w:val="002F22D7"/>
    <w:rsid w:val="002F3B51"/>
    <w:rsid w:val="002F5611"/>
    <w:rsid w:val="002F79D2"/>
    <w:rsid w:val="00301BA3"/>
    <w:rsid w:val="0031065B"/>
    <w:rsid w:val="00310F1A"/>
    <w:rsid w:val="0031111D"/>
    <w:rsid w:val="00312DCC"/>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A6EC7"/>
    <w:rsid w:val="003A7E3F"/>
    <w:rsid w:val="003B09EE"/>
    <w:rsid w:val="003B3447"/>
    <w:rsid w:val="003B3674"/>
    <w:rsid w:val="003B4EC8"/>
    <w:rsid w:val="003C1657"/>
    <w:rsid w:val="003C172D"/>
    <w:rsid w:val="003C2FBD"/>
    <w:rsid w:val="003D1DB9"/>
    <w:rsid w:val="003D525C"/>
    <w:rsid w:val="003D57BE"/>
    <w:rsid w:val="003D5FBF"/>
    <w:rsid w:val="003D6131"/>
    <w:rsid w:val="003D621B"/>
    <w:rsid w:val="003D77D9"/>
    <w:rsid w:val="003D7E13"/>
    <w:rsid w:val="003E1B2C"/>
    <w:rsid w:val="003E1EF7"/>
    <w:rsid w:val="003E256B"/>
    <w:rsid w:val="003E5881"/>
    <w:rsid w:val="003E77FC"/>
    <w:rsid w:val="003E79B3"/>
    <w:rsid w:val="003F0710"/>
    <w:rsid w:val="003F085F"/>
    <w:rsid w:val="003F18FF"/>
    <w:rsid w:val="003F1BB4"/>
    <w:rsid w:val="003F3DA1"/>
    <w:rsid w:val="003F469F"/>
    <w:rsid w:val="003F4A87"/>
    <w:rsid w:val="003F5FAD"/>
    <w:rsid w:val="003F6DC7"/>
    <w:rsid w:val="003F76A8"/>
    <w:rsid w:val="004014AD"/>
    <w:rsid w:val="00401DFB"/>
    <w:rsid w:val="00410551"/>
    <w:rsid w:val="004114F9"/>
    <w:rsid w:val="00411765"/>
    <w:rsid w:val="00413A0E"/>
    <w:rsid w:val="00413AC4"/>
    <w:rsid w:val="00413DA5"/>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67FDE"/>
    <w:rsid w:val="00471691"/>
    <w:rsid w:val="004731A5"/>
    <w:rsid w:val="00473BAD"/>
    <w:rsid w:val="00480699"/>
    <w:rsid w:val="00487464"/>
    <w:rsid w:val="00490F4C"/>
    <w:rsid w:val="00492CB2"/>
    <w:rsid w:val="004931AB"/>
    <w:rsid w:val="0049330D"/>
    <w:rsid w:val="00493E18"/>
    <w:rsid w:val="00494936"/>
    <w:rsid w:val="0049691E"/>
    <w:rsid w:val="00496B46"/>
    <w:rsid w:val="004A0CB5"/>
    <w:rsid w:val="004A51FE"/>
    <w:rsid w:val="004A5A6F"/>
    <w:rsid w:val="004A6FF5"/>
    <w:rsid w:val="004B0FB7"/>
    <w:rsid w:val="004B1C3C"/>
    <w:rsid w:val="004B286B"/>
    <w:rsid w:val="004B3C2A"/>
    <w:rsid w:val="004B432F"/>
    <w:rsid w:val="004B493D"/>
    <w:rsid w:val="004B4D56"/>
    <w:rsid w:val="004B5A33"/>
    <w:rsid w:val="004C1594"/>
    <w:rsid w:val="004C18FB"/>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6081"/>
    <w:rsid w:val="00527304"/>
    <w:rsid w:val="00527EC6"/>
    <w:rsid w:val="00535A9E"/>
    <w:rsid w:val="00535BD8"/>
    <w:rsid w:val="0053752D"/>
    <w:rsid w:val="00541264"/>
    <w:rsid w:val="00542A29"/>
    <w:rsid w:val="005442DC"/>
    <w:rsid w:val="00544F02"/>
    <w:rsid w:val="00546C7C"/>
    <w:rsid w:val="005470E1"/>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785F"/>
    <w:rsid w:val="005D0846"/>
    <w:rsid w:val="005D094A"/>
    <w:rsid w:val="005D176D"/>
    <w:rsid w:val="005D2546"/>
    <w:rsid w:val="005D4D9D"/>
    <w:rsid w:val="005D5213"/>
    <w:rsid w:val="005E2AF9"/>
    <w:rsid w:val="005E3E6F"/>
    <w:rsid w:val="005E62BA"/>
    <w:rsid w:val="005E7595"/>
    <w:rsid w:val="005F05E3"/>
    <w:rsid w:val="005F075D"/>
    <w:rsid w:val="005F1BE3"/>
    <w:rsid w:val="005F2998"/>
    <w:rsid w:val="005F2B69"/>
    <w:rsid w:val="005F3BBC"/>
    <w:rsid w:val="005F4DC1"/>
    <w:rsid w:val="005F58B0"/>
    <w:rsid w:val="006009E9"/>
    <w:rsid w:val="00601D07"/>
    <w:rsid w:val="00603002"/>
    <w:rsid w:val="006038E2"/>
    <w:rsid w:val="00603E41"/>
    <w:rsid w:val="00604259"/>
    <w:rsid w:val="006043C1"/>
    <w:rsid w:val="006068ED"/>
    <w:rsid w:val="006100F9"/>
    <w:rsid w:val="0061057D"/>
    <w:rsid w:val="00615610"/>
    <w:rsid w:val="00615751"/>
    <w:rsid w:val="0061599E"/>
    <w:rsid w:val="0062271F"/>
    <w:rsid w:val="0062276B"/>
    <w:rsid w:val="006243D1"/>
    <w:rsid w:val="0062462B"/>
    <w:rsid w:val="00627243"/>
    <w:rsid w:val="006279D7"/>
    <w:rsid w:val="00630F0E"/>
    <w:rsid w:val="00632FFE"/>
    <w:rsid w:val="0063664E"/>
    <w:rsid w:val="00636846"/>
    <w:rsid w:val="00637F9B"/>
    <w:rsid w:val="00642305"/>
    <w:rsid w:val="006427F6"/>
    <w:rsid w:val="00643756"/>
    <w:rsid w:val="0064471A"/>
    <w:rsid w:val="00644C69"/>
    <w:rsid w:val="006459B1"/>
    <w:rsid w:val="0065000E"/>
    <w:rsid w:val="006512C3"/>
    <w:rsid w:val="006533AB"/>
    <w:rsid w:val="006548F8"/>
    <w:rsid w:val="006578BE"/>
    <w:rsid w:val="00657BF0"/>
    <w:rsid w:val="006716D6"/>
    <w:rsid w:val="00673324"/>
    <w:rsid w:val="00673DC9"/>
    <w:rsid w:val="006756C1"/>
    <w:rsid w:val="00676A46"/>
    <w:rsid w:val="00677193"/>
    <w:rsid w:val="006772F9"/>
    <w:rsid w:val="006774E7"/>
    <w:rsid w:val="00677EB4"/>
    <w:rsid w:val="00680A8F"/>
    <w:rsid w:val="00687A03"/>
    <w:rsid w:val="00687E1D"/>
    <w:rsid w:val="00690F67"/>
    <w:rsid w:val="00692D9B"/>
    <w:rsid w:val="00693D6C"/>
    <w:rsid w:val="00696F9D"/>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1409"/>
    <w:rsid w:val="006F3A72"/>
    <w:rsid w:val="006F438A"/>
    <w:rsid w:val="006F496F"/>
    <w:rsid w:val="006F4DCB"/>
    <w:rsid w:val="006F56B9"/>
    <w:rsid w:val="006F5C4A"/>
    <w:rsid w:val="006F695F"/>
    <w:rsid w:val="00700E19"/>
    <w:rsid w:val="00703DF4"/>
    <w:rsid w:val="00706CF2"/>
    <w:rsid w:val="0070747A"/>
    <w:rsid w:val="00707D21"/>
    <w:rsid w:val="00713D3E"/>
    <w:rsid w:val="007141BD"/>
    <w:rsid w:val="00714299"/>
    <w:rsid w:val="00720447"/>
    <w:rsid w:val="0072092C"/>
    <w:rsid w:val="00720931"/>
    <w:rsid w:val="007239AA"/>
    <w:rsid w:val="0072687B"/>
    <w:rsid w:val="00726FCD"/>
    <w:rsid w:val="007271A8"/>
    <w:rsid w:val="00730A6E"/>
    <w:rsid w:val="00731207"/>
    <w:rsid w:val="00731AEB"/>
    <w:rsid w:val="0073206A"/>
    <w:rsid w:val="00735B2F"/>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A08D8"/>
    <w:rsid w:val="007A3CFD"/>
    <w:rsid w:val="007A47EA"/>
    <w:rsid w:val="007A4C14"/>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398A"/>
    <w:rsid w:val="007E3DCC"/>
    <w:rsid w:val="007E4C34"/>
    <w:rsid w:val="007F01DF"/>
    <w:rsid w:val="007F3673"/>
    <w:rsid w:val="007F3DAB"/>
    <w:rsid w:val="007F43F2"/>
    <w:rsid w:val="008003CF"/>
    <w:rsid w:val="00802CA8"/>
    <w:rsid w:val="00803F1B"/>
    <w:rsid w:val="0080433B"/>
    <w:rsid w:val="00810621"/>
    <w:rsid w:val="008134CE"/>
    <w:rsid w:val="008156D1"/>
    <w:rsid w:val="008164E6"/>
    <w:rsid w:val="008178EB"/>
    <w:rsid w:val="00821261"/>
    <w:rsid w:val="00823CC2"/>
    <w:rsid w:val="008240F0"/>
    <w:rsid w:val="00825F62"/>
    <w:rsid w:val="00827727"/>
    <w:rsid w:val="00831F15"/>
    <w:rsid w:val="00833E1F"/>
    <w:rsid w:val="0083558E"/>
    <w:rsid w:val="00836B92"/>
    <w:rsid w:val="0084458D"/>
    <w:rsid w:val="008477A8"/>
    <w:rsid w:val="008517AB"/>
    <w:rsid w:val="008530BD"/>
    <w:rsid w:val="00854004"/>
    <w:rsid w:val="008547D8"/>
    <w:rsid w:val="008554AF"/>
    <w:rsid w:val="008557CE"/>
    <w:rsid w:val="00856192"/>
    <w:rsid w:val="00856301"/>
    <w:rsid w:val="00856760"/>
    <w:rsid w:val="00862E95"/>
    <w:rsid w:val="00864105"/>
    <w:rsid w:val="00871ABA"/>
    <w:rsid w:val="00873F2A"/>
    <w:rsid w:val="00874971"/>
    <w:rsid w:val="0088132E"/>
    <w:rsid w:val="00882D2F"/>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B6905"/>
    <w:rsid w:val="008C0205"/>
    <w:rsid w:val="008C16ED"/>
    <w:rsid w:val="008C2075"/>
    <w:rsid w:val="008C54AF"/>
    <w:rsid w:val="008C5CA1"/>
    <w:rsid w:val="008D070C"/>
    <w:rsid w:val="008D0966"/>
    <w:rsid w:val="008D47F6"/>
    <w:rsid w:val="008D495D"/>
    <w:rsid w:val="008F5800"/>
    <w:rsid w:val="008F5DF4"/>
    <w:rsid w:val="008F6063"/>
    <w:rsid w:val="008F67C1"/>
    <w:rsid w:val="008F78DC"/>
    <w:rsid w:val="009004B0"/>
    <w:rsid w:val="009024CD"/>
    <w:rsid w:val="009038FD"/>
    <w:rsid w:val="00905701"/>
    <w:rsid w:val="00907305"/>
    <w:rsid w:val="009120CD"/>
    <w:rsid w:val="009130A2"/>
    <w:rsid w:val="009137D2"/>
    <w:rsid w:val="00916F99"/>
    <w:rsid w:val="0091707D"/>
    <w:rsid w:val="0092007C"/>
    <w:rsid w:val="00921258"/>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A2C"/>
    <w:rsid w:val="00960DB8"/>
    <w:rsid w:val="009621BD"/>
    <w:rsid w:val="009644D3"/>
    <w:rsid w:val="0096457C"/>
    <w:rsid w:val="009663CC"/>
    <w:rsid w:val="00972E3A"/>
    <w:rsid w:val="00981F7F"/>
    <w:rsid w:val="0098233D"/>
    <w:rsid w:val="009824C3"/>
    <w:rsid w:val="00982A15"/>
    <w:rsid w:val="00983CCC"/>
    <w:rsid w:val="00984B03"/>
    <w:rsid w:val="00984CC3"/>
    <w:rsid w:val="0098575C"/>
    <w:rsid w:val="0098758B"/>
    <w:rsid w:val="00987D16"/>
    <w:rsid w:val="0099099B"/>
    <w:rsid w:val="00993100"/>
    <w:rsid w:val="00995657"/>
    <w:rsid w:val="009959D1"/>
    <w:rsid w:val="00996CF9"/>
    <w:rsid w:val="009A1093"/>
    <w:rsid w:val="009A10D9"/>
    <w:rsid w:val="009A23C1"/>
    <w:rsid w:val="009A2D4D"/>
    <w:rsid w:val="009A2E31"/>
    <w:rsid w:val="009A3B88"/>
    <w:rsid w:val="009A4C7C"/>
    <w:rsid w:val="009A60DE"/>
    <w:rsid w:val="009A7AF1"/>
    <w:rsid w:val="009B00A5"/>
    <w:rsid w:val="009B0D18"/>
    <w:rsid w:val="009B0F25"/>
    <w:rsid w:val="009B4D65"/>
    <w:rsid w:val="009B4E51"/>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7FF"/>
    <w:rsid w:val="009F5890"/>
    <w:rsid w:val="009F64A5"/>
    <w:rsid w:val="00A00697"/>
    <w:rsid w:val="00A06135"/>
    <w:rsid w:val="00A07F8D"/>
    <w:rsid w:val="00A1075F"/>
    <w:rsid w:val="00A13295"/>
    <w:rsid w:val="00A1329D"/>
    <w:rsid w:val="00A16083"/>
    <w:rsid w:val="00A175B6"/>
    <w:rsid w:val="00A2029C"/>
    <w:rsid w:val="00A213A4"/>
    <w:rsid w:val="00A21404"/>
    <w:rsid w:val="00A21BCF"/>
    <w:rsid w:val="00A22A50"/>
    <w:rsid w:val="00A23527"/>
    <w:rsid w:val="00A26A81"/>
    <w:rsid w:val="00A275A5"/>
    <w:rsid w:val="00A27F6D"/>
    <w:rsid w:val="00A31505"/>
    <w:rsid w:val="00A3676B"/>
    <w:rsid w:val="00A3684D"/>
    <w:rsid w:val="00A377D0"/>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5D54"/>
    <w:rsid w:val="00A87BF1"/>
    <w:rsid w:val="00A93DF9"/>
    <w:rsid w:val="00A94EC8"/>
    <w:rsid w:val="00A94F45"/>
    <w:rsid w:val="00A95634"/>
    <w:rsid w:val="00A95E2E"/>
    <w:rsid w:val="00AA0F23"/>
    <w:rsid w:val="00AA7AF1"/>
    <w:rsid w:val="00AB1B18"/>
    <w:rsid w:val="00AB4ACA"/>
    <w:rsid w:val="00AB4D3C"/>
    <w:rsid w:val="00AB66E5"/>
    <w:rsid w:val="00AB6CCD"/>
    <w:rsid w:val="00AB6D09"/>
    <w:rsid w:val="00AB77D9"/>
    <w:rsid w:val="00AC057E"/>
    <w:rsid w:val="00AC6F3C"/>
    <w:rsid w:val="00AC7141"/>
    <w:rsid w:val="00AD2510"/>
    <w:rsid w:val="00AD3493"/>
    <w:rsid w:val="00AD49D1"/>
    <w:rsid w:val="00AD5A25"/>
    <w:rsid w:val="00AE09EB"/>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FC8"/>
    <w:rsid w:val="00B2453D"/>
    <w:rsid w:val="00B33FDF"/>
    <w:rsid w:val="00B40F0C"/>
    <w:rsid w:val="00B43181"/>
    <w:rsid w:val="00B434EE"/>
    <w:rsid w:val="00B511F8"/>
    <w:rsid w:val="00B52048"/>
    <w:rsid w:val="00B52C8C"/>
    <w:rsid w:val="00B52D20"/>
    <w:rsid w:val="00B5633C"/>
    <w:rsid w:val="00B56F4F"/>
    <w:rsid w:val="00B570BD"/>
    <w:rsid w:val="00B62EF4"/>
    <w:rsid w:val="00B63004"/>
    <w:rsid w:val="00B63E3B"/>
    <w:rsid w:val="00B646AD"/>
    <w:rsid w:val="00B652FE"/>
    <w:rsid w:val="00B65444"/>
    <w:rsid w:val="00B67A2F"/>
    <w:rsid w:val="00B71C50"/>
    <w:rsid w:val="00B732E1"/>
    <w:rsid w:val="00B76B1E"/>
    <w:rsid w:val="00B906A0"/>
    <w:rsid w:val="00B911A4"/>
    <w:rsid w:val="00B938CC"/>
    <w:rsid w:val="00B94E27"/>
    <w:rsid w:val="00B95BCA"/>
    <w:rsid w:val="00B973A9"/>
    <w:rsid w:val="00BA2BE4"/>
    <w:rsid w:val="00BA50C3"/>
    <w:rsid w:val="00BA5259"/>
    <w:rsid w:val="00BB10EB"/>
    <w:rsid w:val="00BB26F1"/>
    <w:rsid w:val="00BB33BF"/>
    <w:rsid w:val="00BB37E1"/>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0403"/>
    <w:rsid w:val="00BE2A9A"/>
    <w:rsid w:val="00BE2EC4"/>
    <w:rsid w:val="00BE5391"/>
    <w:rsid w:val="00BE5AF1"/>
    <w:rsid w:val="00BE6B79"/>
    <w:rsid w:val="00BF0727"/>
    <w:rsid w:val="00BF0AE0"/>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3048"/>
    <w:rsid w:val="00C4576E"/>
    <w:rsid w:val="00C47DB9"/>
    <w:rsid w:val="00C557A0"/>
    <w:rsid w:val="00C56FD6"/>
    <w:rsid w:val="00C60394"/>
    <w:rsid w:val="00C607BA"/>
    <w:rsid w:val="00C6657F"/>
    <w:rsid w:val="00C71423"/>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638D"/>
    <w:rsid w:val="00CC0259"/>
    <w:rsid w:val="00CC5BA1"/>
    <w:rsid w:val="00CC7BF9"/>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08C1"/>
    <w:rsid w:val="00D110AA"/>
    <w:rsid w:val="00D14E9F"/>
    <w:rsid w:val="00D258DA"/>
    <w:rsid w:val="00D26567"/>
    <w:rsid w:val="00D2659D"/>
    <w:rsid w:val="00D26B11"/>
    <w:rsid w:val="00D2711B"/>
    <w:rsid w:val="00D302DC"/>
    <w:rsid w:val="00D31D5F"/>
    <w:rsid w:val="00D327DF"/>
    <w:rsid w:val="00D33CB1"/>
    <w:rsid w:val="00D34B60"/>
    <w:rsid w:val="00D4072A"/>
    <w:rsid w:val="00D40D45"/>
    <w:rsid w:val="00D423C1"/>
    <w:rsid w:val="00D43F7F"/>
    <w:rsid w:val="00D45573"/>
    <w:rsid w:val="00D46136"/>
    <w:rsid w:val="00D53F60"/>
    <w:rsid w:val="00D541FE"/>
    <w:rsid w:val="00D54915"/>
    <w:rsid w:val="00D55050"/>
    <w:rsid w:val="00D57140"/>
    <w:rsid w:val="00D60562"/>
    <w:rsid w:val="00D62523"/>
    <w:rsid w:val="00D67268"/>
    <w:rsid w:val="00D71134"/>
    <w:rsid w:val="00D722B9"/>
    <w:rsid w:val="00D74682"/>
    <w:rsid w:val="00D74B41"/>
    <w:rsid w:val="00D761D2"/>
    <w:rsid w:val="00D76E47"/>
    <w:rsid w:val="00D81A1E"/>
    <w:rsid w:val="00D8260D"/>
    <w:rsid w:val="00D86872"/>
    <w:rsid w:val="00D870BD"/>
    <w:rsid w:val="00D90735"/>
    <w:rsid w:val="00D90A33"/>
    <w:rsid w:val="00D9284A"/>
    <w:rsid w:val="00D95C4F"/>
    <w:rsid w:val="00DB216B"/>
    <w:rsid w:val="00DB7E2E"/>
    <w:rsid w:val="00DC0DD7"/>
    <w:rsid w:val="00DC1B01"/>
    <w:rsid w:val="00DC5AEE"/>
    <w:rsid w:val="00DD13A7"/>
    <w:rsid w:val="00DD44B3"/>
    <w:rsid w:val="00DD5108"/>
    <w:rsid w:val="00DD51CB"/>
    <w:rsid w:val="00DD588C"/>
    <w:rsid w:val="00DE034B"/>
    <w:rsid w:val="00DE1CD8"/>
    <w:rsid w:val="00DE3681"/>
    <w:rsid w:val="00DE4E43"/>
    <w:rsid w:val="00DE6C6D"/>
    <w:rsid w:val="00DE7C62"/>
    <w:rsid w:val="00DF1ECF"/>
    <w:rsid w:val="00DF28D5"/>
    <w:rsid w:val="00DF5C7A"/>
    <w:rsid w:val="00DF6D3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37A02"/>
    <w:rsid w:val="00E40250"/>
    <w:rsid w:val="00E40CC0"/>
    <w:rsid w:val="00E4204F"/>
    <w:rsid w:val="00E43EED"/>
    <w:rsid w:val="00E44AE4"/>
    <w:rsid w:val="00E44D5A"/>
    <w:rsid w:val="00E45B68"/>
    <w:rsid w:val="00E45ECB"/>
    <w:rsid w:val="00E46058"/>
    <w:rsid w:val="00E469A3"/>
    <w:rsid w:val="00E51C7D"/>
    <w:rsid w:val="00E53604"/>
    <w:rsid w:val="00E55ED9"/>
    <w:rsid w:val="00E5681E"/>
    <w:rsid w:val="00E60810"/>
    <w:rsid w:val="00E61CC5"/>
    <w:rsid w:val="00E62013"/>
    <w:rsid w:val="00E625A9"/>
    <w:rsid w:val="00E62864"/>
    <w:rsid w:val="00E70C70"/>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B7D93"/>
    <w:rsid w:val="00EC1DCD"/>
    <w:rsid w:val="00EC20F8"/>
    <w:rsid w:val="00EC35AF"/>
    <w:rsid w:val="00EC39A3"/>
    <w:rsid w:val="00EC4254"/>
    <w:rsid w:val="00EC48DE"/>
    <w:rsid w:val="00ED0B7A"/>
    <w:rsid w:val="00ED116B"/>
    <w:rsid w:val="00ED25B5"/>
    <w:rsid w:val="00ED5F48"/>
    <w:rsid w:val="00ED6495"/>
    <w:rsid w:val="00ED7EF7"/>
    <w:rsid w:val="00EE0E70"/>
    <w:rsid w:val="00EE47EE"/>
    <w:rsid w:val="00EE753C"/>
    <w:rsid w:val="00EF0662"/>
    <w:rsid w:val="00EF2609"/>
    <w:rsid w:val="00EF45CD"/>
    <w:rsid w:val="00EF488C"/>
    <w:rsid w:val="00EF5F52"/>
    <w:rsid w:val="00EF68CB"/>
    <w:rsid w:val="00EF78D6"/>
    <w:rsid w:val="00F03600"/>
    <w:rsid w:val="00F04CA3"/>
    <w:rsid w:val="00F05CAC"/>
    <w:rsid w:val="00F065E7"/>
    <w:rsid w:val="00F10DD3"/>
    <w:rsid w:val="00F10EAB"/>
    <w:rsid w:val="00F142F7"/>
    <w:rsid w:val="00F14E9A"/>
    <w:rsid w:val="00F221A5"/>
    <w:rsid w:val="00F22E0C"/>
    <w:rsid w:val="00F22EDB"/>
    <w:rsid w:val="00F2339F"/>
    <w:rsid w:val="00F23E2D"/>
    <w:rsid w:val="00F246B1"/>
    <w:rsid w:val="00F263BB"/>
    <w:rsid w:val="00F26CC2"/>
    <w:rsid w:val="00F301EA"/>
    <w:rsid w:val="00F30E5F"/>
    <w:rsid w:val="00F32039"/>
    <w:rsid w:val="00F328A1"/>
    <w:rsid w:val="00F349D6"/>
    <w:rsid w:val="00F35351"/>
    <w:rsid w:val="00F367B8"/>
    <w:rsid w:val="00F37093"/>
    <w:rsid w:val="00F37216"/>
    <w:rsid w:val="00F40C49"/>
    <w:rsid w:val="00F41EF4"/>
    <w:rsid w:val="00F42476"/>
    <w:rsid w:val="00F424B2"/>
    <w:rsid w:val="00F426E5"/>
    <w:rsid w:val="00F436D0"/>
    <w:rsid w:val="00F43778"/>
    <w:rsid w:val="00F506B3"/>
    <w:rsid w:val="00F50746"/>
    <w:rsid w:val="00F519D1"/>
    <w:rsid w:val="00F51D08"/>
    <w:rsid w:val="00F53CF7"/>
    <w:rsid w:val="00F63274"/>
    <w:rsid w:val="00F67791"/>
    <w:rsid w:val="00F67B12"/>
    <w:rsid w:val="00F70FB8"/>
    <w:rsid w:val="00F71E6D"/>
    <w:rsid w:val="00F73713"/>
    <w:rsid w:val="00F777D8"/>
    <w:rsid w:val="00F80C31"/>
    <w:rsid w:val="00F82092"/>
    <w:rsid w:val="00F8333A"/>
    <w:rsid w:val="00F83A32"/>
    <w:rsid w:val="00F84AE9"/>
    <w:rsid w:val="00F85F38"/>
    <w:rsid w:val="00F860E5"/>
    <w:rsid w:val="00F86FDC"/>
    <w:rsid w:val="00F9169C"/>
    <w:rsid w:val="00F94C28"/>
    <w:rsid w:val="00FA003E"/>
    <w:rsid w:val="00FA19B8"/>
    <w:rsid w:val="00FA1CC9"/>
    <w:rsid w:val="00FA4DF8"/>
    <w:rsid w:val="00FA7C3E"/>
    <w:rsid w:val="00FB2C38"/>
    <w:rsid w:val="00FB3D88"/>
    <w:rsid w:val="00FB3D8D"/>
    <w:rsid w:val="00FB4B50"/>
    <w:rsid w:val="00FB4B88"/>
    <w:rsid w:val="00FB5196"/>
    <w:rsid w:val="00FB5A0C"/>
    <w:rsid w:val="00FB62B9"/>
    <w:rsid w:val="00FC0AA9"/>
    <w:rsid w:val="00FC2633"/>
    <w:rsid w:val="00FC2CE3"/>
    <w:rsid w:val="00FC5D21"/>
    <w:rsid w:val="00FC6B31"/>
    <w:rsid w:val="00FC7BD2"/>
    <w:rsid w:val="00FD0D6C"/>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136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844633731">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1987195735">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654D3-D843-4603-AFA9-14C57F2EA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1782</Words>
  <Characters>10516</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2025-05-27T11:27:00Z</dcterms:created>
  <dcterms:modified xsi:type="dcterms:W3CDTF">2025-11-20T09:22:00Z</dcterms:modified>
</cp:coreProperties>
</file>