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2872D7">
              <w:rPr>
                <w:rFonts w:ascii="Times New Roman" w:hAnsi="Times New Roman" w:cs="Times New Roman"/>
                <w:b/>
                <w:bCs/>
                <w:sz w:val="24"/>
                <w:szCs w:val="24"/>
              </w:rPr>
            </w:r>
            <w:r w:rsidR="002872D7">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2872D7">
              <w:rPr>
                <w:rFonts w:ascii="Times New Roman" w:hAnsi="Times New Roman" w:cs="Times New Roman"/>
                <w:b/>
                <w:bCs/>
                <w:sz w:val="24"/>
                <w:szCs w:val="24"/>
              </w:rPr>
            </w:r>
            <w:r w:rsidR="002872D7">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872D7">
              <w:rPr>
                <w:rFonts w:ascii="Times New Roman" w:hAnsi="Times New Roman" w:cs="Times New Roman"/>
                <w:b/>
                <w:bCs/>
                <w:sz w:val="24"/>
                <w:szCs w:val="24"/>
              </w:rPr>
            </w:r>
            <w:r w:rsidR="002872D7">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161BC0" w:rsidRPr="00161BC0">
              <w:rPr>
                <w:rFonts w:ascii="Times New Roman" w:hAnsi="Times New Roman" w:cs="Times New Roman"/>
                <w:b/>
                <w:bCs/>
                <w:sz w:val="24"/>
                <w:szCs w:val="24"/>
              </w:rPr>
              <w:t>ministerský rada oddělení koncepcí a analýz odboru řízení a podpory sekce vyzbrojování a akvizic Ministerstva obrany (</w:t>
            </w:r>
            <w:proofErr w:type="spellStart"/>
            <w:r w:rsidR="00161BC0" w:rsidRPr="00161BC0">
              <w:rPr>
                <w:rFonts w:ascii="Times New Roman" w:hAnsi="Times New Roman" w:cs="Times New Roman"/>
                <w:b/>
                <w:bCs/>
                <w:sz w:val="24"/>
                <w:szCs w:val="24"/>
              </w:rPr>
              <w:t>extID</w:t>
            </w:r>
            <w:proofErr w:type="spellEnd"/>
            <w:r w:rsidR="00161BC0" w:rsidRPr="00161BC0">
              <w:rPr>
                <w:rFonts w:ascii="Times New Roman" w:hAnsi="Times New Roman" w:cs="Times New Roman"/>
                <w:b/>
                <w:bCs/>
                <w:sz w:val="24"/>
                <w:szCs w:val="24"/>
              </w:rPr>
              <w:t> 0000 1350 1034)</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872D7">
              <w:rPr>
                <w:rFonts w:ascii="Times New Roman" w:hAnsi="Times New Roman" w:cs="Times New Roman"/>
                <w:b/>
                <w:bCs/>
                <w:sz w:val="24"/>
                <w:szCs w:val="24"/>
              </w:rPr>
            </w:r>
            <w:r w:rsidR="002872D7">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2872D7">
              <w:rPr>
                <w:rFonts w:ascii="Times New Roman" w:hAnsi="Times New Roman" w:cs="Times New Roman"/>
                <w:b/>
                <w:bCs/>
                <w:sz w:val="24"/>
                <w:szCs w:val="24"/>
              </w:rPr>
            </w:r>
            <w:r w:rsidR="002872D7">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BA6DD3" w:rsidRPr="001D4131" w:rsidRDefault="003E0B1C" w:rsidP="00161BC0">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 magisterském studijním programu</w:t>
            </w:r>
            <w:r w:rsidR="00B800C9">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653FB1"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w:t>
            </w:r>
            <w:r w:rsidR="002872D7" w:rsidRPr="00297F35">
              <w:rPr>
                <w:rFonts w:ascii="Times New Roman" w:hAnsi="Times New Roman" w:cs="Times New Roman"/>
                <w:bCs/>
                <w:sz w:val="24"/>
                <w:szCs w:val="24"/>
              </w:rPr>
              <w:t>doložit následně nejpozději před konáním pohovoru nebo písemné zkoušky, je-li konána před pohovorem</w:t>
            </w:r>
            <w:r w:rsidR="002872D7">
              <w:rPr>
                <w:rFonts w:ascii="Times New Roman" w:hAnsi="Times New Roman" w:cs="Times New Roman"/>
                <w:bCs/>
                <w:sz w:val="24"/>
                <w:szCs w:val="24"/>
              </w:rPr>
              <w:t>.</w:t>
            </w:r>
            <w:bookmarkStart w:id="0" w:name="_GoBack"/>
            <w:bookmarkEnd w:id="0"/>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872D7">
              <w:rPr>
                <w:rFonts w:ascii="Times New Roman" w:hAnsi="Times New Roman" w:cs="Times New Roman"/>
                <w:b/>
                <w:bCs/>
                <w:sz w:val="24"/>
                <w:szCs w:val="24"/>
              </w:rPr>
            </w:r>
            <w:r w:rsidR="002872D7">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872D7">
              <w:rPr>
                <w:rFonts w:ascii="Times New Roman" w:hAnsi="Times New Roman" w:cs="Times New Roman"/>
                <w:b/>
                <w:bCs/>
                <w:sz w:val="24"/>
                <w:szCs w:val="24"/>
              </w:rPr>
            </w:r>
            <w:r w:rsidR="002872D7">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872D7">
              <w:rPr>
                <w:rFonts w:ascii="Times New Roman" w:hAnsi="Times New Roman" w:cs="Times New Roman"/>
                <w:b/>
                <w:bCs/>
                <w:sz w:val="24"/>
                <w:szCs w:val="24"/>
              </w:rPr>
            </w:r>
            <w:r w:rsidR="002872D7">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5C58F9"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5C58F9" w:rsidRDefault="00161BC0">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005C58F9" w:rsidRPr="000C6B50">
              <w:rPr>
                <w:rFonts w:ascii="Times New Roman" w:hAnsi="Times New Roman" w:cs="Times New Roman"/>
                <w:bCs/>
                <w:sz w:val="24"/>
                <w:szCs w:val="24"/>
              </w:rPr>
              <w:t>.</w:t>
            </w:r>
            <w:r w:rsidR="005C58F9" w:rsidRPr="000C6B50">
              <w:rPr>
                <w:rFonts w:ascii="Times New Roman" w:hAnsi="Times New Roman" w:cs="Times New Roman"/>
                <w:sz w:val="24"/>
                <w:szCs w:val="24"/>
              </w:rPr>
              <w:tab/>
            </w:r>
            <w:r w:rsidR="005C58F9"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sidR="005C58F9">
              <w:rPr>
                <w:rFonts w:ascii="Times New Roman" w:eastAsiaTheme="minorHAnsi" w:hAnsi="Times New Roman" w:cs="Times New Roman"/>
                <w:bCs/>
                <w:color w:val="000000" w:themeColor="text1"/>
                <w:sz w:val="24"/>
                <w:szCs w:val="24"/>
                <w:lang w:eastAsia="en-US"/>
              </w:rPr>
              <w:t xml:space="preserve">mít </w:t>
            </w:r>
            <w:r w:rsidR="005C58F9" w:rsidRPr="00584E1F">
              <w:rPr>
                <w:rFonts w:ascii="Times New Roman" w:eastAsiaTheme="minorHAnsi" w:hAnsi="Times New Roman" w:cs="Times New Roman"/>
                <w:bCs/>
                <w:color w:val="000000" w:themeColor="text1"/>
                <w:sz w:val="24"/>
                <w:szCs w:val="24"/>
                <w:lang w:eastAsia="en-US"/>
              </w:rPr>
              <w:t xml:space="preserve">přístup k utajovaným informacím </w:t>
            </w:r>
            <w:r w:rsidR="005C58F9"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005C58F9" w:rsidRPr="00BD17E8">
              <w:rPr>
                <w:rFonts w:ascii="Times New Roman" w:eastAsiaTheme="minorHAnsi" w:hAnsi="Times New Roman" w:cs="Times New Roman"/>
                <w:bCs/>
                <w:color w:val="000000" w:themeColor="text1"/>
                <w:sz w:val="24"/>
                <w:szCs w:val="24"/>
                <w:vertAlign w:val="superscript"/>
                <w:lang w:eastAsia="en-US"/>
              </w:rPr>
              <w:footnoteReference w:id="14"/>
            </w:r>
            <w:r w:rsidR="005C58F9" w:rsidRPr="00BD17E8">
              <w:rPr>
                <w:rFonts w:ascii="Times New Roman" w:eastAsiaTheme="minorHAnsi" w:hAnsi="Times New Roman" w:cs="Times New Roman"/>
                <w:bCs/>
                <w:color w:val="000000" w:themeColor="text1"/>
                <w:sz w:val="24"/>
                <w:szCs w:val="24"/>
                <w:vertAlign w:val="superscript"/>
                <w:lang w:eastAsia="en-US"/>
              </w:rPr>
              <w:t>)</w:t>
            </w:r>
            <w:r w:rsidR="005C58F9" w:rsidRPr="00584E1F">
              <w:rPr>
                <w:rFonts w:ascii="Times New Roman" w:eastAsiaTheme="minorHAnsi" w:hAnsi="Times New Roman" w:cs="Times New Roman"/>
                <w:bCs/>
                <w:color w:val="000000" w:themeColor="text1"/>
                <w:sz w:val="24"/>
                <w:szCs w:val="24"/>
                <w:lang w:eastAsia="en-US"/>
              </w:rPr>
              <w:t xml:space="preserve"> </w:t>
            </w:r>
            <w:r w:rsidR="005C58F9" w:rsidRPr="00BE589E">
              <w:rPr>
                <w:rFonts w:ascii="Times New Roman" w:eastAsiaTheme="minorHAnsi" w:hAnsi="Times New Roman" w:cs="Times New Roman"/>
                <w:bCs/>
                <w:color w:val="000000" w:themeColor="text1"/>
                <w:sz w:val="24"/>
                <w:szCs w:val="24"/>
                <w:lang w:eastAsia="en-US"/>
              </w:rPr>
              <w:t xml:space="preserve">[§ 25 odst. </w:t>
            </w:r>
            <w:r w:rsidR="00D62DA3">
              <w:rPr>
                <w:rFonts w:ascii="Times New Roman" w:eastAsiaTheme="minorHAnsi" w:hAnsi="Times New Roman" w:cs="Times New Roman"/>
                <w:bCs/>
                <w:color w:val="000000" w:themeColor="text1"/>
                <w:sz w:val="24"/>
                <w:szCs w:val="24"/>
                <w:lang w:eastAsia="en-US"/>
              </w:rPr>
              <w:t>3</w:t>
            </w:r>
            <w:r w:rsidR="005C58F9" w:rsidRPr="00BE589E">
              <w:rPr>
                <w:rFonts w:ascii="Times New Roman" w:eastAsiaTheme="minorHAnsi" w:hAnsi="Times New Roman" w:cs="Times New Roman"/>
                <w:bCs/>
                <w:color w:val="000000" w:themeColor="text1"/>
                <w:sz w:val="24"/>
                <w:szCs w:val="24"/>
                <w:lang w:eastAsia="en-US"/>
              </w:rPr>
              <w:t xml:space="preserve"> písm. </w:t>
            </w:r>
            <w:r w:rsidR="00D62DA3">
              <w:rPr>
                <w:rFonts w:ascii="Times New Roman" w:eastAsiaTheme="minorHAnsi" w:hAnsi="Times New Roman" w:cs="Times New Roman"/>
                <w:bCs/>
                <w:color w:val="000000" w:themeColor="text1"/>
                <w:sz w:val="24"/>
                <w:szCs w:val="24"/>
                <w:lang w:eastAsia="en-US"/>
              </w:rPr>
              <w:t>d</w:t>
            </w:r>
            <w:r w:rsidR="005C58F9" w:rsidRPr="00BE589E">
              <w:rPr>
                <w:rFonts w:ascii="Times New Roman" w:eastAsiaTheme="minorHAnsi" w:hAnsi="Times New Roman" w:cs="Times New Roman"/>
                <w:bCs/>
                <w:color w:val="000000" w:themeColor="text1"/>
                <w:sz w:val="24"/>
                <w:szCs w:val="24"/>
                <w:lang w:eastAsia="en-US"/>
              </w:rPr>
              <w:t>) zákona o státní službě]</w:t>
            </w:r>
            <w:r w:rsidR="005C58F9">
              <w:rPr>
                <w:rFonts w:ascii="Times New Roman" w:eastAsiaTheme="minorHAnsi" w:hAnsi="Times New Roman" w:cs="Times New Roman"/>
                <w:bCs/>
                <w:color w:val="000000" w:themeColor="text1"/>
                <w:sz w:val="24"/>
                <w:szCs w:val="24"/>
                <w:lang w:eastAsia="en-US"/>
              </w:rPr>
              <w:t>, popř. doklad prokazující podání žádosti o vydání této listiny</w:t>
            </w:r>
            <w:r w:rsidR="005C58F9" w:rsidRPr="007638EF">
              <w:rPr>
                <w:rStyle w:val="Znakapoznpodarou"/>
                <w:rFonts w:ascii="Times New Roman" w:hAnsi="Times New Roman" w:cs="Times New Roman"/>
                <w:bCs/>
                <w:sz w:val="24"/>
                <w:szCs w:val="24"/>
              </w:rPr>
              <w:footnoteReference w:id="15"/>
            </w:r>
            <w:r w:rsidR="005C58F9" w:rsidRPr="00F71C7B">
              <w:rPr>
                <w:rFonts w:ascii="Times New Roman" w:hAnsi="Times New Roman" w:cs="Times New Roman"/>
                <w:bCs/>
                <w:sz w:val="24"/>
                <w:szCs w:val="24"/>
                <w:vertAlign w:val="superscript"/>
              </w:rPr>
              <w:t>)</w:t>
            </w:r>
            <w:r w:rsidR="005C58F9"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5C58F9" w:rsidRPr="009E1DB7" w:rsidRDefault="005C58F9"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872D7">
              <w:rPr>
                <w:rFonts w:ascii="Times New Roman" w:hAnsi="Times New Roman" w:cs="Times New Roman"/>
                <w:b/>
                <w:bCs/>
                <w:sz w:val="24"/>
                <w:szCs w:val="24"/>
              </w:rPr>
            </w:r>
            <w:r w:rsidR="002872D7">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161BC0"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872D7">
              <w:rPr>
                <w:rFonts w:ascii="Times New Roman" w:hAnsi="Times New Roman" w:cs="Times New Roman"/>
                <w:b/>
                <w:bCs/>
                <w:sz w:val="24"/>
                <w:szCs w:val="24"/>
              </w:rPr>
            </w:r>
            <w:r w:rsidR="002872D7">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161BC0"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872D7">
              <w:rPr>
                <w:rFonts w:ascii="Times New Roman" w:hAnsi="Times New Roman" w:cs="Times New Roman"/>
                <w:b/>
                <w:bCs/>
                <w:sz w:val="24"/>
                <w:szCs w:val="24"/>
              </w:rPr>
            </w:r>
            <w:r w:rsidR="002872D7">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7"/>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8"/>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9"/>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4">
    <w:p w:rsidR="005C58F9" w:rsidRPr="00584E1F" w:rsidRDefault="005C58F9" w:rsidP="005C58F9">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sidR="00F110B9">
        <w:rPr>
          <w:rFonts w:cs="Arial"/>
          <w:b/>
          <w:color w:val="365F91" w:themeColor="accent1" w:themeShade="BF"/>
        </w:rPr>
        <w:t>Tajné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5">
    <w:p w:rsidR="005C58F9" w:rsidRPr="009F6FFF" w:rsidRDefault="005C58F9" w:rsidP="005C58F9">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6">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7">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8">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9">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1BC0"/>
    <w:rsid w:val="00164835"/>
    <w:rsid w:val="00165FA9"/>
    <w:rsid w:val="00171D79"/>
    <w:rsid w:val="00173230"/>
    <w:rsid w:val="00176BBD"/>
    <w:rsid w:val="001770DC"/>
    <w:rsid w:val="001801B4"/>
    <w:rsid w:val="001831F1"/>
    <w:rsid w:val="0018483F"/>
    <w:rsid w:val="0018557C"/>
    <w:rsid w:val="00191318"/>
    <w:rsid w:val="001C0CCC"/>
    <w:rsid w:val="001C50EA"/>
    <w:rsid w:val="001C599C"/>
    <w:rsid w:val="001C5DC1"/>
    <w:rsid w:val="001C76DE"/>
    <w:rsid w:val="001D3D50"/>
    <w:rsid w:val="001D4131"/>
    <w:rsid w:val="001D796C"/>
    <w:rsid w:val="001E1B04"/>
    <w:rsid w:val="00200387"/>
    <w:rsid w:val="0020273C"/>
    <w:rsid w:val="00203A81"/>
    <w:rsid w:val="00225616"/>
    <w:rsid w:val="002312F3"/>
    <w:rsid w:val="002423D7"/>
    <w:rsid w:val="00242ABD"/>
    <w:rsid w:val="00277731"/>
    <w:rsid w:val="0028041C"/>
    <w:rsid w:val="00283A53"/>
    <w:rsid w:val="002872D7"/>
    <w:rsid w:val="00292161"/>
    <w:rsid w:val="00295774"/>
    <w:rsid w:val="002A1291"/>
    <w:rsid w:val="002B0D3C"/>
    <w:rsid w:val="002B14BE"/>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1729C"/>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8F9"/>
    <w:rsid w:val="005C5D92"/>
    <w:rsid w:val="005E5082"/>
    <w:rsid w:val="00611857"/>
    <w:rsid w:val="00636A70"/>
    <w:rsid w:val="006430D6"/>
    <w:rsid w:val="00647D48"/>
    <w:rsid w:val="00653FB1"/>
    <w:rsid w:val="00665E86"/>
    <w:rsid w:val="00670C04"/>
    <w:rsid w:val="00676607"/>
    <w:rsid w:val="00681103"/>
    <w:rsid w:val="006876C2"/>
    <w:rsid w:val="006A1996"/>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61E59"/>
    <w:rsid w:val="00875FA2"/>
    <w:rsid w:val="00881730"/>
    <w:rsid w:val="00893961"/>
    <w:rsid w:val="008A2B77"/>
    <w:rsid w:val="008B54AA"/>
    <w:rsid w:val="008C62EC"/>
    <w:rsid w:val="008E0FD8"/>
    <w:rsid w:val="008F0BC2"/>
    <w:rsid w:val="008F2FD2"/>
    <w:rsid w:val="00906194"/>
    <w:rsid w:val="00926042"/>
    <w:rsid w:val="00933C53"/>
    <w:rsid w:val="00935FBD"/>
    <w:rsid w:val="00936E5A"/>
    <w:rsid w:val="00941255"/>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02DB"/>
    <w:rsid w:val="009F6FFF"/>
    <w:rsid w:val="00A00486"/>
    <w:rsid w:val="00A01A9C"/>
    <w:rsid w:val="00A01EF0"/>
    <w:rsid w:val="00A068E4"/>
    <w:rsid w:val="00A2335B"/>
    <w:rsid w:val="00A355BE"/>
    <w:rsid w:val="00A438DF"/>
    <w:rsid w:val="00A45C1D"/>
    <w:rsid w:val="00A532B3"/>
    <w:rsid w:val="00A54F82"/>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A6DD3"/>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6C8"/>
    <w:rsid w:val="00D57B59"/>
    <w:rsid w:val="00D609D9"/>
    <w:rsid w:val="00D62DA3"/>
    <w:rsid w:val="00D643DB"/>
    <w:rsid w:val="00D7238D"/>
    <w:rsid w:val="00D8069D"/>
    <w:rsid w:val="00D80BCA"/>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B4C7C"/>
    <w:rsid w:val="00ED2E85"/>
    <w:rsid w:val="00ED4CD9"/>
    <w:rsid w:val="00EE215E"/>
    <w:rsid w:val="00EE539E"/>
    <w:rsid w:val="00EE5EC8"/>
    <w:rsid w:val="00EF354D"/>
    <w:rsid w:val="00EF375B"/>
    <w:rsid w:val="00EF379C"/>
    <w:rsid w:val="00EF5C9C"/>
    <w:rsid w:val="00EF60C6"/>
    <w:rsid w:val="00F110B9"/>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D67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A6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D2085-C90D-48C4-B648-5FA182F1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876</Words>
  <Characters>5175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2025-11-20T09:18:00Z</dcterms:modified>
</cp:coreProperties>
</file>