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157D47">
        <w:rPr>
          <w:rFonts w:asciiTheme="majorHAnsi" w:hAnsiTheme="majorHAnsi" w:cs="Times New Roman"/>
        </w:rPr>
        <w:t xml:space="preserve"> 9</w:t>
      </w:r>
      <w:r w:rsidR="000B0F4A">
        <w:rPr>
          <w:rFonts w:asciiTheme="majorHAnsi" w:hAnsiTheme="majorHAnsi" w:cs="Times New Roman"/>
        </w:rPr>
        <w:t xml:space="preserve">. </w:t>
      </w:r>
      <w:r w:rsidR="00157D47">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BD7D67">
        <w:rPr>
          <w:rFonts w:asciiTheme="majorHAnsi" w:hAnsiTheme="majorHAnsi" w:cs="Times New Roman"/>
        </w:rPr>
        <w:t>2</w:t>
      </w:r>
      <w:r w:rsidR="00A43760">
        <w:rPr>
          <w:rFonts w:asciiTheme="majorHAnsi" w:hAnsiTheme="majorHAnsi" w:cs="Times New Roman"/>
        </w:rPr>
        <w:t>7</w:t>
      </w:r>
      <w:r w:rsidR="00157D47">
        <w:rPr>
          <w:rFonts w:asciiTheme="majorHAnsi" w:hAnsiTheme="majorHAnsi" w:cs="Times New Roman"/>
        </w:rPr>
        <w:t>52</w:t>
      </w:r>
      <w:r w:rsidRPr="004F522B">
        <w:rPr>
          <w:rFonts w:asciiTheme="majorHAnsi" w:hAnsiTheme="majorHAnsi" w:cs="Times New Roman"/>
        </w:rPr>
        <w:t>-</w:t>
      </w:r>
      <w:r w:rsidR="00337BEA">
        <w:rPr>
          <w:rFonts w:asciiTheme="majorHAnsi" w:hAnsiTheme="majorHAnsi" w:cs="Times New Roman"/>
        </w:rPr>
        <w:t>2</w:t>
      </w:r>
      <w:r w:rsidR="00157D47">
        <w:rPr>
          <w:rFonts w:asciiTheme="majorHAnsi" w:hAnsiTheme="majorHAnsi" w:cs="Times New Roman"/>
        </w:rPr>
        <w:t>0</w:t>
      </w:r>
      <w:r w:rsidR="00BD7D67">
        <w:rPr>
          <w:rFonts w:asciiTheme="majorHAnsi" w:hAnsiTheme="majorHAnsi" w:cs="Times New Roman"/>
        </w:rPr>
        <w:t>/202</w:t>
      </w:r>
      <w:r w:rsidR="00FD0D6C">
        <w:rPr>
          <w:rFonts w:asciiTheme="majorHAnsi" w:hAnsiTheme="majorHAnsi" w:cs="Times New Roman"/>
        </w:rPr>
        <w:t>4</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337BEA">
        <w:rPr>
          <w:rFonts w:asciiTheme="majorHAnsi" w:hAnsiTheme="majorHAnsi" w:cs="Times New Roman"/>
          <w:b/>
          <w:color w:val="C00000"/>
        </w:rPr>
        <w:t>1</w:t>
      </w:r>
      <w:r w:rsidR="00157D47">
        <w:rPr>
          <w:rFonts w:asciiTheme="majorHAnsi" w:hAnsiTheme="majorHAnsi" w:cs="Times New Roman"/>
          <w:b/>
          <w:color w:val="C00000"/>
        </w:rPr>
        <w:t>0</w:t>
      </w:r>
      <w:r w:rsidR="000B0F4A">
        <w:rPr>
          <w:rFonts w:asciiTheme="majorHAnsi" w:hAnsiTheme="majorHAnsi" w:cs="Times New Roman"/>
          <w:b/>
          <w:color w:val="C00000"/>
        </w:rPr>
        <w:t xml:space="preserve">. </w:t>
      </w:r>
      <w:r w:rsidR="00157D47">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293840" w:rsidRPr="00293840">
        <w:rPr>
          <w:rFonts w:asciiTheme="majorHAnsi" w:eastAsia="Times New Roman" w:hAnsiTheme="majorHAnsi" w:cs="Times New Roman"/>
          <w:b/>
          <w:bCs/>
          <w:color w:val="C00000"/>
          <w:lang w:eastAsia="cs-CZ"/>
        </w:rPr>
        <w:t xml:space="preserve">ministerský rada oddělení vládní a parlamentní agendy Kanceláře ministra obrany </w:t>
      </w:r>
      <w:r w:rsidR="00616E15" w:rsidRPr="00054CAE">
        <w:rPr>
          <w:rFonts w:asciiTheme="majorHAnsi" w:eastAsia="Times New Roman" w:hAnsiTheme="majorHAnsi" w:cs="Times New Roman"/>
          <w:b/>
          <w:bCs/>
          <w:color w:val="C00000"/>
          <w:lang w:eastAsia="cs-CZ"/>
        </w:rPr>
        <w:t>(extID 0000 </w:t>
      </w:r>
      <w:r w:rsidR="00F167F5">
        <w:rPr>
          <w:rFonts w:asciiTheme="majorHAnsi" w:eastAsia="Times New Roman" w:hAnsiTheme="majorHAnsi" w:cs="Times New Roman"/>
          <w:b/>
          <w:bCs/>
          <w:color w:val="C00000"/>
          <w:lang w:eastAsia="cs-CZ"/>
        </w:rPr>
        <w:t>1322</w:t>
      </w:r>
      <w:r w:rsidR="00616E15" w:rsidRPr="00054CAE">
        <w:rPr>
          <w:rFonts w:asciiTheme="majorHAnsi" w:eastAsia="Times New Roman" w:hAnsiTheme="majorHAnsi" w:cs="Times New Roman"/>
          <w:b/>
          <w:bCs/>
          <w:color w:val="C00000"/>
          <w:lang w:eastAsia="cs-CZ"/>
        </w:rPr>
        <w:t> </w:t>
      </w:r>
      <w:r w:rsidR="00F167F5">
        <w:rPr>
          <w:rFonts w:asciiTheme="majorHAnsi" w:eastAsia="Times New Roman" w:hAnsiTheme="majorHAnsi" w:cs="Times New Roman"/>
          <w:b/>
          <w:bCs/>
          <w:color w:val="C00000"/>
          <w:lang w:eastAsia="cs-CZ"/>
        </w:rPr>
        <w:t>0629</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BD7D67">
        <w:rPr>
          <w:rFonts w:asciiTheme="majorHAnsi" w:hAnsiTheme="majorHAnsi" w:cs="Times New Roman"/>
        </w:rPr>
        <w:t>Tychonova</w:t>
      </w:r>
      <w:r w:rsidR="00735C70">
        <w:rPr>
          <w:rFonts w:asciiTheme="majorHAnsi" w:hAnsiTheme="majorHAnsi" w:cs="Times New Roman"/>
        </w:rPr>
        <w:t> </w:t>
      </w:r>
      <w:r w:rsidR="00BD7D67" w:rsidRPr="00BD7D67">
        <w:rPr>
          <w:rFonts w:asciiTheme="majorHAnsi" w:hAnsiTheme="majorHAnsi" w:cs="Times New Roman"/>
        </w:rPr>
        <w:t>1, Praha 6, PSČ</w:t>
      </w:r>
      <w:r w:rsidR="000F04CC">
        <w:rPr>
          <w:rFonts w:asciiTheme="majorHAnsi" w:hAnsiTheme="majorHAnsi" w:cs="Times New Roman"/>
        </w:rPr>
        <w:t> </w:t>
      </w:r>
      <w:r w:rsidR="00BD7D67" w:rsidRPr="00BD7D67">
        <w:rPr>
          <w:rFonts w:asciiTheme="majorHAnsi" w:hAnsiTheme="majorHAnsi" w:cs="Times New Roman"/>
        </w:rPr>
        <w:t>160 0</w:t>
      </w:r>
      <w:r w:rsidR="00FD0D6C">
        <w:rPr>
          <w:rFonts w:asciiTheme="majorHAnsi" w:hAnsiTheme="majorHAnsi" w:cs="Times New Roman"/>
        </w:rPr>
        <w:t>0</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oboru státní služby </w:t>
      </w:r>
      <w:r w:rsidR="000717F1" w:rsidRPr="000717F1">
        <w:rPr>
          <w:rFonts w:asciiTheme="majorHAnsi" w:hAnsiTheme="majorHAnsi" w:cs="Times New Roman"/>
          <w:b/>
        </w:rPr>
        <w:t>Legislativa</w:t>
      </w:r>
      <w:r w:rsidRPr="00C97EFC">
        <w:rPr>
          <w:rFonts w:asciiTheme="majorHAnsi" w:hAnsiTheme="majorHAnsi" w:cs="Times New Roman"/>
          <w:b/>
        </w:rPr>
        <w:t xml:space="preserve"> (č.</w:t>
      </w:r>
      <w:r w:rsidR="000717F1">
        <w:rPr>
          <w:rFonts w:asciiTheme="majorHAnsi" w:hAnsiTheme="majorHAnsi" w:cs="Times New Roman"/>
          <w:b/>
        </w:rPr>
        <w:t> </w:t>
      </w:r>
      <w:r w:rsidRPr="00C97EFC">
        <w:rPr>
          <w:rFonts w:asciiTheme="majorHAnsi" w:hAnsiTheme="majorHAnsi" w:cs="Times New Roman"/>
          <w:b/>
        </w:rPr>
        <w:t>2</w:t>
      </w:r>
      <w:r w:rsidR="000717F1">
        <w:rPr>
          <w:rFonts w:asciiTheme="majorHAnsi" w:hAnsiTheme="majorHAnsi" w:cs="Times New Roman"/>
          <w:b/>
        </w:rPr>
        <w:t>2</w:t>
      </w:r>
      <w:r w:rsidRPr="00C97EFC">
        <w:rPr>
          <w:rFonts w:asciiTheme="majorHAnsi" w:hAnsiTheme="majorHAnsi" w:cs="Times New Roman"/>
          <w:b/>
        </w:rPr>
        <w:t>).</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sidRPr="00483356">
        <w:rPr>
          <w:rFonts w:asciiTheme="majorHAnsi" w:hAnsiTheme="majorHAnsi" w:cs="Times New Roman"/>
        </w:rPr>
        <w:t>Tvorba nebo komplexní posuzování návrhů právních předpisů s celostátní působností nebo předpisů Evropské unie, analýza právního a skutkového stavu, zhodnocování nezbytnosti změny právního stavu, změny rozsahu právní regulace, souladu s dalšími právními předpisy, mezinárodními smlouvami a s právem Evropské unie.</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sidRPr="00483356">
        <w:rPr>
          <w:rFonts w:asciiTheme="majorHAnsi" w:hAnsiTheme="majorHAnsi" w:cs="Times New Roman"/>
        </w:rPr>
        <w:t xml:space="preserve">Koncepční a normotvorná činnost za rezort </w:t>
      </w:r>
      <w:r>
        <w:rPr>
          <w:rFonts w:asciiTheme="majorHAnsi" w:hAnsiTheme="majorHAnsi" w:cs="Times New Roman"/>
        </w:rPr>
        <w:t xml:space="preserve">Ministerstva </w:t>
      </w:r>
      <w:r w:rsidRPr="00483356">
        <w:rPr>
          <w:rFonts w:asciiTheme="majorHAnsi" w:hAnsiTheme="majorHAnsi" w:cs="Times New Roman"/>
        </w:rPr>
        <w:t xml:space="preserve">obrany s tvorbou zásad zákonné úpravy obrany státu, příprava zásadních materiálů pro utváření branné politiky státu s koordinací celostátních a mezistátních systémů se složitými vnitřními a vnějšími vazbami podle obecně daných pravidel a zásad včetně systémové a metodické činnosti na úseku přípravy zpracování materiálů nelegislativního charakteru, zařazených na programu jednání vlády a Parlamentu ČR s osobním podílem na jejich obhajobě při prosazování oprávněných zájmů rezortu </w:t>
      </w:r>
      <w:r>
        <w:rPr>
          <w:rFonts w:asciiTheme="majorHAnsi" w:hAnsiTheme="majorHAnsi" w:cs="Times New Roman"/>
        </w:rPr>
        <w:t xml:space="preserve">Ministerstva </w:t>
      </w:r>
      <w:r w:rsidRPr="00483356">
        <w:rPr>
          <w:rFonts w:asciiTheme="majorHAnsi" w:hAnsiTheme="majorHAnsi" w:cs="Times New Roman"/>
        </w:rPr>
        <w:t>obrany.</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Pr>
          <w:rFonts w:asciiTheme="majorHAnsi" w:hAnsiTheme="majorHAnsi" w:cs="Times New Roman"/>
        </w:rPr>
        <w:t>Zajišťování realizace vnitrorezortních a mimorez</w:t>
      </w:r>
      <w:r w:rsidRPr="00483356">
        <w:rPr>
          <w:rFonts w:asciiTheme="majorHAnsi" w:hAnsiTheme="majorHAnsi" w:cs="Times New Roman"/>
        </w:rPr>
        <w:t>ortních připomínkových řízení k vládním a</w:t>
      </w:r>
      <w:r>
        <w:rPr>
          <w:rFonts w:asciiTheme="majorHAnsi" w:hAnsiTheme="majorHAnsi" w:cs="Times New Roman"/>
        </w:rPr>
        <w:t> </w:t>
      </w:r>
      <w:r w:rsidRPr="00483356">
        <w:rPr>
          <w:rFonts w:asciiTheme="majorHAnsi" w:hAnsiTheme="majorHAnsi" w:cs="Times New Roman"/>
        </w:rPr>
        <w:t xml:space="preserve">parlamentním materiálům s koordinací součinnostních vazeb uvnitř i vně rezortu </w:t>
      </w:r>
      <w:r>
        <w:rPr>
          <w:rFonts w:asciiTheme="majorHAnsi" w:hAnsiTheme="majorHAnsi" w:cs="Times New Roman"/>
        </w:rPr>
        <w:t xml:space="preserve">Ministerstva </w:t>
      </w:r>
      <w:r w:rsidRPr="00483356">
        <w:rPr>
          <w:rFonts w:asciiTheme="majorHAnsi" w:hAnsiTheme="majorHAnsi" w:cs="Times New Roman"/>
        </w:rPr>
        <w:t>obrany.</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sidRPr="00483356">
        <w:rPr>
          <w:rFonts w:asciiTheme="majorHAnsi" w:hAnsiTheme="majorHAnsi" w:cs="Times New Roman"/>
        </w:rPr>
        <w:t>Zpracovává</w:t>
      </w:r>
      <w:r>
        <w:rPr>
          <w:rFonts w:asciiTheme="majorHAnsi" w:hAnsiTheme="majorHAnsi" w:cs="Times New Roman"/>
        </w:rPr>
        <w:t>ní</w:t>
      </w:r>
      <w:r w:rsidRPr="00483356">
        <w:rPr>
          <w:rFonts w:asciiTheme="majorHAnsi" w:hAnsiTheme="majorHAnsi" w:cs="Times New Roman"/>
        </w:rPr>
        <w:t xml:space="preserve"> a vyhodnoc</w:t>
      </w:r>
      <w:r>
        <w:rPr>
          <w:rFonts w:asciiTheme="majorHAnsi" w:hAnsiTheme="majorHAnsi" w:cs="Times New Roman"/>
        </w:rPr>
        <w:t>ování připomínek</w:t>
      </w:r>
      <w:r w:rsidRPr="00483356">
        <w:rPr>
          <w:rFonts w:asciiTheme="majorHAnsi" w:hAnsiTheme="majorHAnsi" w:cs="Times New Roman"/>
        </w:rPr>
        <w:t xml:space="preserve"> k právním předpisům jiných rezortů.</w:t>
      </w:r>
    </w:p>
    <w:p w:rsidR="00F167F5" w:rsidRPr="00483356" w:rsidRDefault="00F167F5" w:rsidP="00F167F5">
      <w:pPr>
        <w:pStyle w:val="Odstavecseseznamem"/>
        <w:numPr>
          <w:ilvl w:val="0"/>
          <w:numId w:val="39"/>
        </w:numPr>
        <w:spacing w:after="120" w:line="240" w:lineRule="auto"/>
        <w:jc w:val="both"/>
        <w:rPr>
          <w:rFonts w:asciiTheme="majorHAnsi" w:hAnsiTheme="majorHAnsi" w:cs="Times New Roman"/>
        </w:rPr>
      </w:pPr>
      <w:r w:rsidRPr="00483356">
        <w:rPr>
          <w:rFonts w:asciiTheme="majorHAnsi" w:hAnsiTheme="majorHAnsi" w:cs="Times New Roman"/>
        </w:rPr>
        <w:t>Zpracovává</w:t>
      </w:r>
      <w:r>
        <w:rPr>
          <w:rFonts w:asciiTheme="majorHAnsi" w:hAnsiTheme="majorHAnsi" w:cs="Times New Roman"/>
        </w:rPr>
        <w:t>ní odborných stanovisek pro ministryni</w:t>
      </w:r>
      <w:r w:rsidRPr="00483356">
        <w:rPr>
          <w:rFonts w:asciiTheme="majorHAnsi" w:hAnsiTheme="majorHAnsi" w:cs="Times New Roman"/>
        </w:rPr>
        <w:t xml:space="preserve"> obrany k vládním a parlamentním materiálům, sled</w:t>
      </w:r>
      <w:r>
        <w:rPr>
          <w:rFonts w:asciiTheme="majorHAnsi" w:hAnsiTheme="majorHAnsi" w:cs="Times New Roman"/>
        </w:rPr>
        <w:t>ování</w:t>
      </w:r>
      <w:r w:rsidRPr="00483356">
        <w:rPr>
          <w:rFonts w:asciiTheme="majorHAnsi" w:hAnsiTheme="majorHAnsi" w:cs="Times New Roman"/>
        </w:rPr>
        <w:t xml:space="preserve"> nelegislativní</w:t>
      </w:r>
      <w:r>
        <w:rPr>
          <w:rFonts w:asciiTheme="majorHAnsi" w:hAnsiTheme="majorHAnsi" w:cs="Times New Roman"/>
        </w:rPr>
        <w:t>ch dopadů</w:t>
      </w:r>
      <w:r w:rsidRPr="00483356">
        <w:rPr>
          <w:rFonts w:asciiTheme="majorHAnsi" w:hAnsiTheme="majorHAnsi" w:cs="Times New Roman"/>
        </w:rPr>
        <w:t xml:space="preserve"> přijatých materiálů v rezortu </w:t>
      </w:r>
      <w:r>
        <w:rPr>
          <w:rFonts w:asciiTheme="majorHAnsi" w:hAnsiTheme="majorHAnsi" w:cs="Times New Roman"/>
        </w:rPr>
        <w:t xml:space="preserve">Ministerstva </w:t>
      </w:r>
      <w:r w:rsidRPr="00483356">
        <w:rPr>
          <w:rFonts w:asciiTheme="majorHAnsi" w:hAnsiTheme="majorHAnsi" w:cs="Times New Roman"/>
        </w:rPr>
        <w:t>obrany i</w:t>
      </w:r>
      <w:r>
        <w:rPr>
          <w:rFonts w:asciiTheme="majorHAnsi" w:hAnsiTheme="majorHAnsi" w:cs="Times New Roman"/>
        </w:rPr>
        <w:t> </w:t>
      </w:r>
      <w:r w:rsidRPr="00483356">
        <w:rPr>
          <w:rFonts w:asciiTheme="majorHAnsi" w:hAnsiTheme="majorHAnsi" w:cs="Times New Roman"/>
        </w:rPr>
        <w:t>s</w:t>
      </w:r>
      <w:r>
        <w:rPr>
          <w:rFonts w:asciiTheme="majorHAnsi" w:hAnsiTheme="majorHAnsi" w:cs="Times New Roman"/>
        </w:rPr>
        <w:t> </w:t>
      </w:r>
      <w:r w:rsidRPr="00483356">
        <w:rPr>
          <w:rFonts w:asciiTheme="majorHAnsi" w:hAnsiTheme="majorHAnsi" w:cs="Times New Roman"/>
        </w:rPr>
        <w:t>přihlédnutím na právní hledisko a navrh</w:t>
      </w:r>
      <w:r>
        <w:rPr>
          <w:rFonts w:asciiTheme="majorHAnsi" w:hAnsiTheme="majorHAnsi" w:cs="Times New Roman"/>
        </w:rPr>
        <w:t>ování</w:t>
      </w:r>
      <w:r w:rsidRPr="00483356">
        <w:rPr>
          <w:rFonts w:asciiTheme="majorHAnsi" w:hAnsiTheme="majorHAnsi" w:cs="Times New Roman"/>
        </w:rPr>
        <w:t xml:space="preserve"> opatření k jejich realizaci.</w:t>
      </w:r>
    </w:p>
    <w:p w:rsidR="0049691E" w:rsidRPr="0049691E" w:rsidRDefault="00F167F5" w:rsidP="00F167F5">
      <w:pPr>
        <w:pStyle w:val="Odstavecseseznamem"/>
        <w:numPr>
          <w:ilvl w:val="0"/>
          <w:numId w:val="39"/>
        </w:numPr>
        <w:spacing w:line="240" w:lineRule="auto"/>
        <w:jc w:val="both"/>
        <w:rPr>
          <w:rFonts w:asciiTheme="majorHAnsi" w:hAnsiTheme="majorHAnsi" w:cs="Times New Roman"/>
        </w:rPr>
      </w:pPr>
      <w:r w:rsidRPr="00483356">
        <w:rPr>
          <w:rFonts w:asciiTheme="majorHAnsi" w:hAnsiTheme="majorHAnsi" w:cs="Times New Roman"/>
        </w:rPr>
        <w:t>Přebírá</w:t>
      </w:r>
      <w:r>
        <w:rPr>
          <w:rFonts w:asciiTheme="majorHAnsi" w:hAnsiTheme="majorHAnsi" w:cs="Times New Roman"/>
        </w:rPr>
        <w:t>ní vládní dokumentace</w:t>
      </w:r>
      <w:r w:rsidRPr="00483356">
        <w:rPr>
          <w:rFonts w:asciiTheme="majorHAnsi" w:hAnsiTheme="majorHAnsi" w:cs="Times New Roman"/>
        </w:rPr>
        <w:t xml:space="preserve"> a zpracovává</w:t>
      </w:r>
      <w:r>
        <w:rPr>
          <w:rFonts w:asciiTheme="majorHAnsi" w:hAnsiTheme="majorHAnsi" w:cs="Times New Roman"/>
        </w:rPr>
        <w:t>ní návrhů</w:t>
      </w:r>
      <w:r w:rsidRPr="00483356">
        <w:rPr>
          <w:rFonts w:asciiTheme="majorHAnsi" w:hAnsiTheme="majorHAnsi" w:cs="Times New Roman"/>
        </w:rPr>
        <w:t xml:space="preserve"> na její postoupení věcně přísluš</w:t>
      </w:r>
      <w:r>
        <w:rPr>
          <w:rFonts w:asciiTheme="majorHAnsi" w:hAnsiTheme="majorHAnsi" w:cs="Times New Roman"/>
        </w:rPr>
        <w:t>ným funkcionářům Ministerstva obrany</w:t>
      </w:r>
      <w:r w:rsidRPr="00483356">
        <w:rPr>
          <w:rFonts w:asciiTheme="majorHAnsi" w:hAnsiTheme="majorHAnsi" w:cs="Times New Roman"/>
        </w:rPr>
        <w:t xml:space="preserve"> k zaujetí stanoviska.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BA5259">
        <w:rPr>
          <w:rFonts w:ascii="Cambria" w:hAnsi="Cambria" w:cs="Cambria"/>
          <w:b/>
          <w:bCs/>
          <w:color w:val="000000"/>
        </w:rPr>
        <w:t>2</w:t>
      </w:r>
      <w:r>
        <w:rPr>
          <w:rFonts w:ascii="Cambria" w:hAnsi="Cambria" w:cs="Cambria"/>
          <w:b/>
          <w:bCs/>
          <w:color w:val="000000"/>
        </w:rPr>
        <w:t xml:space="preserve"> </w:t>
      </w:r>
      <w:r w:rsidR="00BA5259">
        <w:rPr>
          <w:rFonts w:ascii="Cambria" w:hAnsi="Cambria" w:cs="Cambria"/>
          <w:b/>
          <w:bCs/>
          <w:color w:val="000000"/>
        </w:rPr>
        <w:t>1</w:t>
      </w:r>
      <w:r>
        <w:rPr>
          <w:rFonts w:ascii="Cambria" w:hAnsi="Cambria" w:cs="Cambria"/>
          <w:b/>
          <w:bCs/>
          <w:color w:val="000000"/>
        </w:rPr>
        <w:t>80</w:t>
      </w:r>
      <w:r w:rsidRPr="006B3610">
        <w:rPr>
          <w:rFonts w:ascii="Cambria" w:hAnsi="Cambria" w:cs="Cambria"/>
          <w:b/>
          <w:bCs/>
          <w:color w:val="000000"/>
        </w:rPr>
        <w:t xml:space="preserve"> Kč do </w:t>
      </w:r>
      <w:r w:rsidR="00BA5259">
        <w:rPr>
          <w:rFonts w:ascii="Cambria" w:hAnsi="Cambria" w:cs="Cambria"/>
          <w:b/>
          <w:bCs/>
          <w:color w:val="000000"/>
        </w:rPr>
        <w:t>46</w:t>
      </w:r>
      <w:r>
        <w:rPr>
          <w:rFonts w:ascii="Cambria" w:hAnsi="Cambria" w:cs="Cambria"/>
          <w:b/>
          <w:bCs/>
          <w:color w:val="000000"/>
        </w:rPr>
        <w:t xml:space="preserve"> </w:t>
      </w:r>
      <w:r w:rsidR="00BA5259">
        <w:rPr>
          <w:rFonts w:ascii="Cambria" w:hAnsi="Cambria" w:cs="Cambria"/>
          <w:b/>
          <w:bCs/>
          <w:color w:val="000000"/>
        </w:rPr>
        <w:t>8</w:t>
      </w:r>
      <w:r>
        <w:rPr>
          <w:rFonts w:ascii="Cambria" w:hAnsi="Cambria" w:cs="Cambria"/>
          <w:b/>
          <w:bCs/>
          <w:color w:val="000000"/>
        </w:rPr>
        <w:t>20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0370FE" w:rsidRDefault="000370FE" w:rsidP="009137D2">
      <w:pPr>
        <w:spacing w:before="120" w:after="120" w:line="240" w:lineRule="auto"/>
        <w:jc w:val="both"/>
        <w:rPr>
          <w:rFonts w:ascii="Cambria" w:hAnsi="Cambria" w:cs="Cambria"/>
          <w:color w:val="000000"/>
        </w:rPr>
      </w:pPr>
    </w:p>
    <w:p w:rsidR="000370FE" w:rsidRDefault="000370FE" w:rsidP="009137D2">
      <w:pPr>
        <w:spacing w:before="120" w:after="120" w:line="240" w:lineRule="auto"/>
        <w:jc w:val="both"/>
        <w:rPr>
          <w:rFonts w:ascii="Cambria" w:hAnsi="Cambria" w:cs="Cambria"/>
          <w:color w:val="000000"/>
        </w:rPr>
      </w:pP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BA5259">
        <w:rPr>
          <w:rFonts w:ascii="Cambria" w:hAnsi="Cambria" w:cs="Cambria"/>
          <w:b/>
          <w:bCs/>
          <w:color w:val="000000"/>
        </w:rPr>
        <w:t>341</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BA5259">
        <w:rPr>
          <w:rFonts w:ascii="Cambria" w:hAnsi="Cambria" w:cs="Cambria"/>
          <w:b/>
          <w:bCs/>
          <w:color w:val="000000"/>
        </w:rPr>
        <w:t>02</w:t>
      </w:r>
      <w:r>
        <w:rPr>
          <w:rFonts w:ascii="Cambria" w:hAnsi="Cambria" w:cs="Cambria"/>
          <w:b/>
          <w:bCs/>
          <w:color w:val="000000"/>
        </w:rPr>
        <w:t>3</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157D47">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157D47">
        <w:rPr>
          <w:rFonts w:ascii="Cambria" w:hAnsi="Cambria" w:cs="Cambria"/>
          <w:b/>
          <w:bCs/>
          <w:color w:val="000000"/>
        </w:rPr>
        <w:t>leden</w:t>
      </w:r>
      <w:r w:rsidR="00E97B63">
        <w:rPr>
          <w:rFonts w:ascii="Cambria" w:hAnsi="Cambria" w:cs="Cambria"/>
          <w:b/>
          <w:bCs/>
          <w:color w:val="000000"/>
        </w:rPr>
        <w:t xml:space="preserve"> </w:t>
      </w:r>
      <w:r w:rsidR="009F64A5">
        <w:rPr>
          <w:rFonts w:ascii="Cambria" w:hAnsi="Cambria" w:cs="Cambria"/>
          <w:b/>
          <w:bCs/>
          <w:color w:val="000000"/>
        </w:rPr>
        <w:t>202</w:t>
      </w:r>
      <w:r w:rsidR="00157D47">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337BEA">
        <w:rPr>
          <w:rFonts w:ascii="Cambria" w:hAnsi="Cambria" w:cs="Cambria"/>
          <w:b/>
          <w:color w:val="000000"/>
        </w:rPr>
        <w:t>1</w:t>
      </w:r>
      <w:r w:rsidR="00157D47">
        <w:rPr>
          <w:rFonts w:ascii="Cambria" w:hAnsi="Cambria" w:cs="Cambria"/>
          <w:b/>
          <w:color w:val="000000"/>
        </w:rPr>
        <w:t>7</w:t>
      </w:r>
      <w:r w:rsidR="00B73603">
        <w:rPr>
          <w:rFonts w:ascii="Cambria" w:hAnsi="Cambria" w:cs="Cambria"/>
          <w:b/>
          <w:color w:val="000000"/>
        </w:rPr>
        <w:t xml:space="preserve">. </w:t>
      </w:r>
      <w:r w:rsidR="00337BEA">
        <w:rPr>
          <w:rFonts w:ascii="Cambria" w:hAnsi="Cambria" w:cs="Cambria"/>
          <w:b/>
          <w:color w:val="000000"/>
        </w:rPr>
        <w:t>ří</w:t>
      </w:r>
      <w:r w:rsidR="00157D47">
        <w:rPr>
          <w:rFonts w:ascii="Cambria" w:hAnsi="Cambria" w:cs="Cambria"/>
          <w:b/>
          <w:color w:val="000000"/>
        </w:rPr>
        <w:t>jna</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r w:rsidRPr="00731AEB">
        <w:rPr>
          <w:rFonts w:ascii="Cambria" w:hAnsi="Cambria" w:cs="Cambria"/>
          <w:b/>
          <w:bCs/>
          <w:color w:val="000000"/>
        </w:rPr>
        <w:t>hjyaavk</w:t>
      </w:r>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F167F5" w:rsidRPr="00F167F5">
        <w:rPr>
          <w:rFonts w:asciiTheme="majorHAnsi" w:eastAsia="Times New Roman" w:hAnsiTheme="majorHAnsi" w:cs="Times New Roman"/>
          <w:b/>
          <w:bCs/>
          <w:lang w:eastAsia="cs-CZ"/>
        </w:rPr>
        <w:t>ministerský rada oddělení vládní a</w:t>
      </w:r>
      <w:r w:rsidR="00157D47">
        <w:rPr>
          <w:rFonts w:asciiTheme="majorHAnsi" w:eastAsia="Times New Roman" w:hAnsiTheme="majorHAnsi" w:cs="Times New Roman"/>
          <w:b/>
          <w:bCs/>
          <w:lang w:eastAsia="cs-CZ"/>
        </w:rPr>
        <w:t> </w:t>
      </w:r>
      <w:r w:rsidR="00F167F5" w:rsidRPr="00F167F5">
        <w:rPr>
          <w:rFonts w:asciiTheme="majorHAnsi" w:eastAsia="Times New Roman" w:hAnsiTheme="majorHAnsi" w:cs="Times New Roman"/>
          <w:b/>
          <w:bCs/>
          <w:lang w:eastAsia="cs-CZ"/>
        </w:rPr>
        <w:t>parlamentní agendy Kanceláře ministra obrany (extID 0000 1322 0629)</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před </w:t>
      </w:r>
      <w:r w:rsidRPr="008C2075">
        <w:rPr>
          <w:rFonts w:asciiTheme="majorHAnsi" w:hAnsiTheme="majorHAnsi" w:cs="Times New Roman"/>
        </w:rPr>
        <w:lastRenderedPageBreak/>
        <w:t>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81C66" w:rsidRDefault="004C1594" w:rsidP="00587C8F">
      <w:pPr>
        <w:numPr>
          <w:ilvl w:val="0"/>
          <w:numId w:val="7"/>
        </w:numPr>
        <w:spacing w:before="120" w:after="120" w:line="240" w:lineRule="auto"/>
        <w:jc w:val="both"/>
        <w:rPr>
          <w:rFonts w:asciiTheme="majorHAnsi" w:eastAsia="Times New Roman" w:hAnsiTheme="majorHAnsi" w:cs="Times New Roman"/>
          <w:lang w:eastAsia="cs-CZ"/>
        </w:rPr>
      </w:pPr>
      <w:r w:rsidRPr="000717F1">
        <w:rPr>
          <w:rFonts w:asciiTheme="majorHAnsi" w:eastAsia="Times New Roman" w:hAnsiTheme="majorHAnsi" w:cs="Times New Roman"/>
        </w:rPr>
        <w:t xml:space="preserve">Žadatel musí také splňovat jiný požadavek stanovený podle § 25 odst. </w:t>
      </w:r>
      <w:r w:rsidR="001F4FE4" w:rsidRPr="000717F1">
        <w:rPr>
          <w:rFonts w:asciiTheme="majorHAnsi" w:eastAsia="Times New Roman" w:hAnsiTheme="majorHAnsi" w:cs="Times New Roman"/>
        </w:rPr>
        <w:t>3</w:t>
      </w:r>
      <w:r w:rsidRPr="000717F1">
        <w:rPr>
          <w:rFonts w:asciiTheme="majorHAnsi" w:eastAsia="Times New Roman" w:hAnsiTheme="majorHAnsi" w:cs="Times New Roman"/>
        </w:rPr>
        <w:t xml:space="preserve"> písm. </w:t>
      </w:r>
      <w:r w:rsidR="001F4FE4" w:rsidRPr="000717F1">
        <w:rPr>
          <w:rFonts w:asciiTheme="majorHAnsi" w:eastAsia="Times New Roman" w:hAnsiTheme="majorHAnsi" w:cs="Times New Roman"/>
        </w:rPr>
        <w:t>d</w:t>
      </w:r>
      <w:r w:rsidRPr="000717F1">
        <w:rPr>
          <w:rFonts w:asciiTheme="majorHAnsi" w:eastAsia="Times New Roman" w:hAnsiTheme="majorHAnsi" w:cs="Times New Roman"/>
        </w:rPr>
        <w:t>) zákona o státní službě služebním předpisem státního tajemníka v Ministerstvu obrany č. 1/202</w:t>
      </w:r>
      <w:r w:rsidR="001F4FE4" w:rsidRPr="000717F1">
        <w:rPr>
          <w:rFonts w:asciiTheme="majorHAnsi" w:eastAsia="Times New Roman" w:hAnsiTheme="majorHAnsi" w:cs="Times New Roman"/>
        </w:rPr>
        <w:t>5</w:t>
      </w:r>
      <w:r w:rsidRPr="000717F1">
        <w:rPr>
          <w:rFonts w:asciiTheme="majorHAnsi" w:eastAsia="Times New Roman" w:hAnsiTheme="majorHAnsi" w:cs="Times New Roman"/>
        </w:rPr>
        <w:t>, kterým se stanoví vnitřní systemizace a organizační struktura pro rok 202</w:t>
      </w:r>
      <w:r w:rsidR="001F4FE4" w:rsidRPr="000717F1">
        <w:rPr>
          <w:rFonts w:asciiTheme="majorHAnsi" w:eastAsia="Times New Roman" w:hAnsiTheme="majorHAnsi" w:cs="Times New Roman"/>
        </w:rPr>
        <w:t>5</w:t>
      </w:r>
      <w:r w:rsidRPr="000717F1">
        <w:rPr>
          <w:rFonts w:asciiTheme="majorHAnsi" w:eastAsia="Times New Roman" w:hAnsiTheme="majorHAnsi" w:cs="Times New Roman"/>
        </w:rPr>
        <w:t xml:space="preserve"> (SP-01/202</w:t>
      </w:r>
      <w:r w:rsidR="001F4FE4" w:rsidRPr="000717F1">
        <w:rPr>
          <w:rFonts w:asciiTheme="majorHAnsi" w:eastAsia="Times New Roman" w:hAnsiTheme="majorHAnsi" w:cs="Times New Roman"/>
        </w:rPr>
        <w:t>5</w:t>
      </w:r>
      <w:r w:rsidRPr="000717F1">
        <w:rPr>
          <w:rFonts w:asciiTheme="majorHAnsi" w:eastAsia="Times New Roman" w:hAnsiTheme="majorHAnsi" w:cs="Times New Roman"/>
        </w:rPr>
        <w:t xml:space="preserve">-ST), </w:t>
      </w:r>
      <w:r w:rsidR="00B73603" w:rsidRPr="000717F1">
        <w:rPr>
          <w:rFonts w:asciiTheme="majorHAnsi" w:eastAsia="Times New Roman" w:hAnsiTheme="majorHAnsi" w:cs="Times New Roman"/>
        </w:rPr>
        <w:t>ve znění pozdějších služebních přepisů</w:t>
      </w:r>
      <w:r w:rsidR="00C94FE8" w:rsidRPr="000717F1">
        <w:rPr>
          <w:rFonts w:asciiTheme="majorHAnsi" w:eastAsia="Times New Roman" w:hAnsiTheme="majorHAnsi" w:cs="Times New Roman"/>
        </w:rPr>
        <w:t xml:space="preserve">, </w:t>
      </w:r>
      <w:r w:rsidRPr="000717F1">
        <w:rPr>
          <w:rFonts w:asciiTheme="majorHAnsi" w:eastAsia="Times New Roman" w:hAnsiTheme="majorHAnsi" w:cs="Times New Roman"/>
        </w:rPr>
        <w:t xml:space="preserve">kterým je </w:t>
      </w:r>
      <w:r w:rsidR="000717F1">
        <w:rPr>
          <w:rFonts w:asciiTheme="majorHAnsi" w:eastAsia="Times New Roman" w:hAnsiTheme="majorHAnsi" w:cs="Times New Roman"/>
        </w:rPr>
        <w:t xml:space="preserve">způsobilost mít </w:t>
      </w:r>
      <w:r w:rsidRPr="000717F1">
        <w:rPr>
          <w:rFonts w:asciiTheme="majorHAnsi" w:eastAsia="Times New Roman" w:hAnsiTheme="majorHAnsi" w:cs="Times New Roman"/>
        </w:rPr>
        <w:t xml:space="preserve">přístup k utajovaným informacím podle zákona č. 412/2005 Sb., </w:t>
      </w:r>
      <w:r w:rsidR="000717F1" w:rsidRPr="000717F1">
        <w:rPr>
          <w:rFonts w:asciiTheme="majorHAnsi" w:eastAsia="Times New Roman" w:hAnsiTheme="majorHAnsi" w:cs="Times New Roman"/>
        </w:rPr>
        <w:t xml:space="preserve">o ochraně utajovaných informací a o bezpečnostní způsobilosti, ve znění pozdějších předpisů, na stupeň utajení </w:t>
      </w:r>
      <w:r w:rsidR="000717F1" w:rsidRPr="000717F1">
        <w:rPr>
          <w:rFonts w:asciiTheme="majorHAnsi" w:eastAsia="Times New Roman" w:hAnsiTheme="majorHAnsi" w:cs="Times New Roman"/>
          <w:b/>
        </w:rPr>
        <w:t>TAJNÉ</w:t>
      </w:r>
      <w:r w:rsidR="000717F1" w:rsidRPr="000717F1">
        <w:rPr>
          <w:rFonts w:asciiTheme="majorHAnsi" w:eastAsia="Times New Roman" w:hAnsiTheme="majorHAnsi" w:cs="Times New Roman"/>
        </w:rPr>
        <w:t>. Splnění tohoto požadavku se dokládá úředně ověřenou kopií platného Osvědčení fyzické osoby alespoň na stupeň utajení</w:t>
      </w:r>
      <w:r w:rsidR="000717F1" w:rsidRPr="000717F1">
        <w:rPr>
          <w:rFonts w:asciiTheme="majorHAnsi" w:eastAsia="Times New Roman" w:hAnsiTheme="majorHAnsi" w:cs="Times New Roman"/>
          <w:b/>
        </w:rPr>
        <w:t xml:space="preserve"> TAJNÉ</w:t>
      </w:r>
      <w:r w:rsidR="000717F1" w:rsidRPr="000717F1">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000717F1" w:rsidRPr="000717F1">
        <w:rPr>
          <w:rFonts w:asciiTheme="majorHAnsi" w:eastAsia="Times New Roman" w:hAnsiTheme="majorHAnsi" w:cs="Times New Roman"/>
          <w:b/>
        </w:rPr>
        <w:t xml:space="preserve">, </w:t>
      </w:r>
      <w:r w:rsidR="000717F1" w:rsidRPr="000717F1">
        <w:rPr>
          <w:rFonts w:asciiTheme="majorHAnsi" w:eastAsia="Times New Roman" w:hAnsiTheme="majorHAnsi" w:cs="Times New Roman"/>
        </w:rPr>
        <w:t>resp. rozhodnutí o zařazení na služební místo</w:t>
      </w:r>
      <w:r w:rsidR="000717F1" w:rsidRPr="000717F1">
        <w:rPr>
          <w:rFonts w:asciiTheme="majorHAnsi" w:eastAsia="Times New Roman" w:hAnsiTheme="majorHAnsi" w:cs="Times New Roman"/>
          <w:lang w:eastAsia="cs-CZ"/>
        </w:rPr>
        <w:t>.</w:t>
      </w:r>
    </w:p>
    <w:p w:rsidR="00157D47" w:rsidRDefault="00157D47" w:rsidP="00157D47">
      <w:pPr>
        <w:spacing w:before="120" w:after="120" w:line="240" w:lineRule="auto"/>
        <w:jc w:val="both"/>
        <w:rPr>
          <w:rFonts w:asciiTheme="majorHAnsi" w:eastAsia="Times New Roman" w:hAnsiTheme="majorHAnsi" w:cs="Times New Roman"/>
          <w:lang w:eastAsia="cs-CZ"/>
        </w:rPr>
      </w:pPr>
    </w:p>
    <w:p w:rsidR="00157D47" w:rsidRPr="000717F1" w:rsidRDefault="00157D47" w:rsidP="00157D47">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C17E0F" w:rsidP="002F79D2">
      <w:pPr>
        <w:widowControl w:val="0"/>
        <w:spacing w:after="0" w:line="240" w:lineRule="auto"/>
        <w:ind w:left="5670"/>
        <w:jc w:val="center"/>
        <w:rPr>
          <w:rFonts w:asciiTheme="majorHAnsi" w:hAnsiTheme="majorHAnsi" w:cs="Times New Roman"/>
        </w:rPr>
      </w:pP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157D47" w:rsidRDefault="00157D47" w:rsidP="00EA57C7">
      <w:pPr>
        <w:spacing w:before="120" w:after="0" w:line="240" w:lineRule="auto"/>
        <w:jc w:val="both"/>
        <w:rPr>
          <w:rFonts w:asciiTheme="majorHAnsi" w:hAnsiTheme="majorHAnsi" w:cs="Times New Roman"/>
        </w:rPr>
      </w:pPr>
    </w:p>
    <w:p w:rsidR="00157D47" w:rsidRDefault="00157D47"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3A7670">
    <w:pPr>
      <w:pStyle w:val="Zpat"/>
      <w:jc w:val="center"/>
    </w:pPr>
  </w:p>
  <w:p w:rsidR="001873E3" w:rsidRDefault="003A76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28a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7F1"/>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0F4A"/>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57D47"/>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3840"/>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BEA"/>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7670"/>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5ECE"/>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73603"/>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05F5"/>
    <w:rsid w:val="00BD1750"/>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4FE8"/>
    <w:rsid w:val="00C971F3"/>
    <w:rsid w:val="00CA0A50"/>
    <w:rsid w:val="00CA30DC"/>
    <w:rsid w:val="00CA4642"/>
    <w:rsid w:val="00CA5F91"/>
    <w:rsid w:val="00CA7E0A"/>
    <w:rsid w:val="00CB527F"/>
    <w:rsid w:val="00CB638D"/>
    <w:rsid w:val="00CC0259"/>
    <w:rsid w:val="00CC5277"/>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167F5"/>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99626-AEA3-4888-9741-4495E62B0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11122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2025-10-07T12:11:00Z</dcterms:modified>
</cp:coreProperties>
</file>