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226788">
        <w:rPr>
          <w:rFonts w:asciiTheme="majorHAnsi" w:hAnsiTheme="majorHAnsi" w:cs="Times New Roman"/>
        </w:rPr>
        <w:t xml:space="preserve"> </w:t>
      </w:r>
      <w:r w:rsidR="00B908F9">
        <w:rPr>
          <w:rFonts w:asciiTheme="majorHAnsi" w:hAnsiTheme="majorHAnsi" w:cs="Times New Roman"/>
        </w:rPr>
        <w:t>1</w:t>
      </w:r>
      <w:r w:rsidR="00E86DCE">
        <w:rPr>
          <w:rFonts w:asciiTheme="majorHAnsi" w:hAnsiTheme="majorHAnsi" w:cs="Times New Roman"/>
        </w:rPr>
        <w:t>2</w:t>
      </w:r>
      <w:r w:rsidR="003B1832">
        <w:rPr>
          <w:rFonts w:asciiTheme="majorHAnsi" w:hAnsiTheme="majorHAnsi" w:cs="Times New Roman"/>
        </w:rPr>
        <w:t xml:space="preserve">. </w:t>
      </w:r>
      <w:r w:rsidR="00B908F9">
        <w:rPr>
          <w:rFonts w:asciiTheme="majorHAnsi" w:hAnsiTheme="majorHAnsi" w:cs="Times New Roman"/>
        </w:rPr>
        <w:t>srpna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AB0EFE">
        <w:rPr>
          <w:rFonts w:asciiTheme="majorHAnsi" w:hAnsiTheme="majorHAnsi" w:cs="Times New Roman"/>
        </w:rPr>
        <w:t>2857-2</w:t>
      </w:r>
      <w:r w:rsidR="00BD7D67">
        <w:rPr>
          <w:rFonts w:asciiTheme="majorHAnsi" w:hAnsiTheme="majorHAnsi" w:cs="Times New Roman"/>
        </w:rPr>
        <w:t>/202</w:t>
      </w:r>
      <w:r w:rsidR="00AB0EFE">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6239E">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B908F9">
        <w:rPr>
          <w:rFonts w:asciiTheme="majorHAnsi" w:hAnsiTheme="majorHAnsi" w:cs="Times New Roman"/>
          <w:b/>
          <w:color w:val="C00000"/>
        </w:rPr>
        <w:t>1</w:t>
      </w:r>
      <w:r w:rsidR="00AB0EFE">
        <w:rPr>
          <w:rFonts w:asciiTheme="majorHAnsi" w:hAnsiTheme="majorHAnsi" w:cs="Times New Roman"/>
          <w:b/>
          <w:color w:val="C00000"/>
        </w:rPr>
        <w:t>5</w:t>
      </w:r>
      <w:r w:rsidR="003B1832">
        <w:rPr>
          <w:rFonts w:asciiTheme="majorHAnsi" w:hAnsiTheme="majorHAnsi" w:cs="Times New Roman"/>
          <w:b/>
          <w:color w:val="C00000"/>
        </w:rPr>
        <w:t>.</w:t>
      </w:r>
      <w:r w:rsidR="00B908F9">
        <w:rPr>
          <w:rFonts w:asciiTheme="majorHAnsi" w:hAnsiTheme="majorHAnsi" w:cs="Times New Roman"/>
          <w:b/>
          <w:color w:val="C00000"/>
        </w:rPr>
        <w:t xml:space="preserve"> srpna</w:t>
      </w:r>
      <w:r w:rsidR="00A0463C">
        <w:rPr>
          <w:rFonts w:asciiTheme="majorHAnsi" w:hAnsiTheme="majorHAnsi" w:cs="Times New Roman"/>
          <w:b/>
          <w:color w:val="C00000"/>
        </w:rPr>
        <w:t xml:space="preserve"> </w:t>
      </w:r>
      <w:r w:rsidR="009F5890">
        <w:rPr>
          <w:rFonts w:asciiTheme="majorHAnsi" w:hAnsiTheme="majorHAnsi" w:cs="Times New Roman"/>
          <w:b/>
          <w:color w:val="C00000"/>
        </w:rPr>
        <w:t>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164F4C" w:rsidRPr="00164F4C">
        <w:rPr>
          <w:rFonts w:asciiTheme="majorHAnsi" w:eastAsia="Times New Roman" w:hAnsiTheme="majorHAnsi" w:cs="Times New Roman"/>
          <w:b/>
          <w:bCs/>
          <w:color w:val="C00000"/>
          <w:lang w:eastAsia="cs-CZ"/>
        </w:rPr>
        <w:t xml:space="preserve">ministerský rada oddělení </w:t>
      </w:r>
      <w:r w:rsidR="00E86DCE">
        <w:rPr>
          <w:rFonts w:asciiTheme="majorHAnsi" w:eastAsia="Times New Roman" w:hAnsiTheme="majorHAnsi" w:cs="Times New Roman"/>
          <w:b/>
          <w:bCs/>
          <w:color w:val="C00000"/>
          <w:lang w:eastAsia="cs-CZ"/>
        </w:rPr>
        <w:t xml:space="preserve">služeb </w:t>
      </w:r>
      <w:r w:rsidR="00AB0EFE">
        <w:rPr>
          <w:rFonts w:asciiTheme="majorHAnsi" w:eastAsia="Times New Roman" w:hAnsiTheme="majorHAnsi" w:cs="Times New Roman"/>
          <w:b/>
          <w:bCs/>
          <w:color w:val="C00000"/>
          <w:lang w:eastAsia="cs-CZ"/>
        </w:rPr>
        <w:t>nemovité infrastruktury odboru nemovité infrastruktury</w:t>
      </w:r>
      <w:r w:rsidR="00164F4C" w:rsidRPr="00164F4C">
        <w:rPr>
          <w:rFonts w:asciiTheme="majorHAnsi" w:eastAsia="Times New Roman" w:hAnsiTheme="majorHAnsi" w:cs="Times New Roman"/>
          <w:b/>
          <w:bCs/>
          <w:color w:val="C00000"/>
          <w:lang w:eastAsia="cs-CZ"/>
        </w:rPr>
        <w:t xml:space="preserve"> sekce majetkové Ministerstva obrany (</w:t>
      </w:r>
      <w:proofErr w:type="spellStart"/>
      <w:r w:rsidR="00164F4C" w:rsidRPr="00164F4C">
        <w:rPr>
          <w:rFonts w:asciiTheme="majorHAnsi" w:eastAsia="Times New Roman" w:hAnsiTheme="majorHAnsi" w:cs="Times New Roman"/>
          <w:b/>
          <w:bCs/>
          <w:color w:val="C00000"/>
          <w:lang w:eastAsia="cs-CZ"/>
        </w:rPr>
        <w:t>extID</w:t>
      </w:r>
      <w:proofErr w:type="spellEnd"/>
      <w:r w:rsidR="00164F4C" w:rsidRPr="00164F4C">
        <w:rPr>
          <w:rFonts w:asciiTheme="majorHAnsi" w:eastAsia="Times New Roman" w:hAnsiTheme="majorHAnsi" w:cs="Times New Roman"/>
          <w:b/>
          <w:bCs/>
          <w:color w:val="C00000"/>
          <w:lang w:eastAsia="cs-CZ"/>
        </w:rPr>
        <w:t> 202</w:t>
      </w:r>
      <w:r w:rsidR="00AB0EFE">
        <w:rPr>
          <w:rFonts w:asciiTheme="majorHAnsi" w:eastAsia="Times New Roman" w:hAnsiTheme="majorHAnsi" w:cs="Times New Roman"/>
          <w:b/>
          <w:bCs/>
          <w:color w:val="C00000"/>
          <w:lang w:eastAsia="cs-CZ"/>
        </w:rPr>
        <w:t>4 0013 2203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B4233A" w:rsidRPr="00B4233A">
        <w:rPr>
          <w:rFonts w:asciiTheme="majorHAnsi" w:hAnsiTheme="majorHAnsi" w:cs="Times New Roman"/>
        </w:rPr>
        <w:t>Tychonova 1, Praha 6, PSČ 160 00</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5D77E1">
        <w:rPr>
          <w:rFonts w:asciiTheme="majorHAnsi" w:hAnsiTheme="majorHAnsi" w:cs="Times New Roman"/>
        </w:rPr>
        <w:t>ech</w:t>
      </w:r>
      <w:r>
        <w:rPr>
          <w:rFonts w:asciiTheme="majorHAnsi" w:hAnsiTheme="majorHAnsi" w:cs="Times New Roman"/>
        </w:rPr>
        <w:t xml:space="preserve"> státní služby </w:t>
      </w:r>
      <w:r w:rsidR="00AB0EFE">
        <w:rPr>
          <w:rFonts w:asciiTheme="majorHAnsi" w:hAnsiTheme="majorHAnsi" w:cs="Times New Roman"/>
          <w:b/>
        </w:rPr>
        <w:t>Veřejné investování a zadávání veřejných zakázek</w:t>
      </w:r>
      <w:r w:rsidR="00DD2981" w:rsidRPr="00DD2981">
        <w:rPr>
          <w:rFonts w:asciiTheme="majorHAnsi" w:hAnsiTheme="majorHAnsi" w:cs="Times New Roman"/>
          <w:b/>
        </w:rPr>
        <w:t xml:space="preserve"> (č. </w:t>
      </w:r>
      <w:r w:rsidR="00AB0EFE">
        <w:rPr>
          <w:rFonts w:asciiTheme="majorHAnsi" w:hAnsiTheme="majorHAnsi" w:cs="Times New Roman"/>
          <w:b/>
        </w:rPr>
        <w:t>37</w:t>
      </w:r>
      <w:r w:rsidR="00DD2981" w:rsidRPr="00DD2981">
        <w:rPr>
          <w:rFonts w:asciiTheme="majorHAnsi" w:hAnsiTheme="majorHAnsi" w:cs="Times New Roman"/>
          <w:b/>
        </w:rPr>
        <w:t>) a Obrana (č. 49</w:t>
      </w:r>
      <w:r>
        <w:rPr>
          <w:rFonts w:asciiTheme="majorHAnsi" w:hAnsiTheme="majorHAnsi" w:cs="Times New Roman"/>
          <w:b/>
        </w:rPr>
        <w:t>).</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AB0EFE" w:rsidRPr="00573DF5" w:rsidRDefault="00AB0EFE" w:rsidP="00415358">
      <w:pPr>
        <w:pStyle w:val="Odstavecseseznamem"/>
        <w:numPr>
          <w:ilvl w:val="0"/>
          <w:numId w:val="39"/>
        </w:numPr>
        <w:spacing w:line="240" w:lineRule="auto"/>
        <w:jc w:val="both"/>
        <w:rPr>
          <w:rFonts w:asciiTheme="majorHAnsi" w:eastAsia="Times New Roman" w:hAnsiTheme="majorHAnsi" w:cs="Times New Roman"/>
          <w:lang w:eastAsia="cs-CZ"/>
        </w:rPr>
      </w:pPr>
      <w:r w:rsidRPr="00573DF5">
        <w:rPr>
          <w:rFonts w:asciiTheme="majorHAnsi" w:eastAsia="Times New Roman" w:hAnsiTheme="majorHAnsi" w:cs="Times New Roman"/>
          <w:lang w:eastAsia="cs-CZ"/>
        </w:rPr>
        <w:t>Celostátní metodické usměrňování veřejného investování a zadávání veřejných zakázek, zpracovávání metodik pro přípravu a realizaci projektů veřejných investic</w:t>
      </w:r>
      <w:r w:rsidR="00573DF5" w:rsidRPr="00573DF5">
        <w:rPr>
          <w:rFonts w:asciiTheme="majorHAnsi" w:eastAsia="Times New Roman" w:hAnsiTheme="majorHAnsi" w:cs="Times New Roman"/>
          <w:lang w:eastAsia="cs-CZ"/>
        </w:rPr>
        <w:t>.</w:t>
      </w:r>
    </w:p>
    <w:p w:rsidR="00AB0EFE" w:rsidRPr="00573DF5" w:rsidRDefault="00AB0EFE" w:rsidP="00415358">
      <w:pPr>
        <w:pStyle w:val="Odstavecseseznamem"/>
        <w:numPr>
          <w:ilvl w:val="0"/>
          <w:numId w:val="39"/>
        </w:numPr>
        <w:spacing w:line="240" w:lineRule="auto"/>
        <w:jc w:val="both"/>
        <w:rPr>
          <w:rFonts w:asciiTheme="majorHAnsi" w:eastAsia="Times New Roman" w:hAnsiTheme="majorHAnsi" w:cs="Times New Roman"/>
          <w:lang w:eastAsia="cs-CZ"/>
        </w:rPr>
      </w:pPr>
      <w:r w:rsidRPr="00573DF5">
        <w:rPr>
          <w:rFonts w:asciiTheme="majorHAnsi" w:eastAsia="Times New Roman" w:hAnsiTheme="majorHAnsi" w:cs="Times New Roman"/>
          <w:lang w:eastAsia="cs-CZ"/>
        </w:rPr>
        <w:t>Zpracov</w:t>
      </w:r>
      <w:r w:rsidR="00573DF5" w:rsidRPr="00573DF5">
        <w:rPr>
          <w:rFonts w:asciiTheme="majorHAnsi" w:eastAsia="Times New Roman" w:hAnsiTheme="majorHAnsi" w:cs="Times New Roman"/>
          <w:lang w:eastAsia="cs-CZ"/>
        </w:rPr>
        <w:t>ání</w:t>
      </w:r>
      <w:r w:rsidRPr="00573DF5">
        <w:rPr>
          <w:rFonts w:asciiTheme="majorHAnsi" w:eastAsia="Times New Roman" w:hAnsiTheme="majorHAnsi" w:cs="Times New Roman"/>
          <w:lang w:eastAsia="cs-CZ"/>
        </w:rPr>
        <w:t xml:space="preserve"> podkladů do koncepčních materiálů</w:t>
      </w:r>
      <w:r w:rsidR="00573DF5" w:rsidRPr="00573DF5">
        <w:rPr>
          <w:rFonts w:asciiTheme="majorHAnsi" w:eastAsia="Times New Roman" w:hAnsiTheme="majorHAnsi" w:cs="Times New Roman"/>
          <w:lang w:eastAsia="cs-CZ"/>
        </w:rPr>
        <w:t>, posuzování návrhů</w:t>
      </w:r>
      <w:r w:rsidRPr="00573DF5">
        <w:rPr>
          <w:rFonts w:asciiTheme="majorHAnsi" w:eastAsia="Times New Roman" w:hAnsiTheme="majorHAnsi" w:cs="Times New Roman"/>
          <w:lang w:eastAsia="cs-CZ"/>
        </w:rPr>
        <w:t xml:space="preserve"> vnitřních předpisů pro organizaci akvizičního procesu v oblasti nabývání majetku a služeb nevojenského charakteru.</w:t>
      </w:r>
    </w:p>
    <w:p w:rsidR="00AB0EFE" w:rsidRPr="00573DF5" w:rsidRDefault="00AB0EFE" w:rsidP="00AB0EFE">
      <w:pPr>
        <w:pStyle w:val="Odstavecseseznamem"/>
        <w:numPr>
          <w:ilvl w:val="0"/>
          <w:numId w:val="39"/>
        </w:numPr>
        <w:spacing w:line="240" w:lineRule="auto"/>
        <w:jc w:val="both"/>
        <w:rPr>
          <w:rFonts w:asciiTheme="majorHAnsi" w:eastAsia="Times New Roman" w:hAnsiTheme="majorHAnsi" w:cs="Times New Roman"/>
          <w:lang w:eastAsia="cs-CZ"/>
        </w:rPr>
      </w:pPr>
      <w:r w:rsidRPr="00573DF5">
        <w:rPr>
          <w:rFonts w:asciiTheme="majorHAnsi" w:eastAsia="Times New Roman" w:hAnsiTheme="majorHAnsi" w:cs="Times New Roman"/>
          <w:lang w:eastAsia="cs-CZ"/>
        </w:rPr>
        <w:t>Příprava, realizace a kontrola zakázek za dodržení platných obecně závazných právních předpisů a vnitřních předpisů rezortu MO.</w:t>
      </w:r>
    </w:p>
    <w:p w:rsidR="00AB0EFE" w:rsidRPr="00573DF5" w:rsidRDefault="00AB0EFE" w:rsidP="00AB0EFE">
      <w:pPr>
        <w:pStyle w:val="Odstavecseseznamem"/>
        <w:numPr>
          <w:ilvl w:val="0"/>
          <w:numId w:val="39"/>
        </w:numPr>
        <w:spacing w:line="240" w:lineRule="auto"/>
        <w:jc w:val="both"/>
        <w:rPr>
          <w:rFonts w:asciiTheme="majorHAnsi" w:eastAsia="Times New Roman" w:hAnsiTheme="majorHAnsi" w:cs="Times New Roman"/>
          <w:lang w:eastAsia="cs-CZ"/>
        </w:rPr>
      </w:pPr>
      <w:r w:rsidRPr="00573DF5">
        <w:rPr>
          <w:rFonts w:asciiTheme="majorHAnsi" w:eastAsia="Times New Roman" w:hAnsiTheme="majorHAnsi" w:cs="Times New Roman"/>
          <w:lang w:eastAsia="cs-CZ"/>
        </w:rPr>
        <w:t>Příprava zadávání zakázek v oblasti služeb nemovité infrastruktury, jejich vyhlášení, uveřejňování, odpovědnost za tvorbu veškeré potřebné dokumentace související se zadáváním zakázek včetně zadávacích podmínek a návrhů smluv.</w:t>
      </w:r>
    </w:p>
    <w:p w:rsidR="00AB0EFE" w:rsidRPr="00573DF5" w:rsidRDefault="00AB0EFE" w:rsidP="00AB0EFE">
      <w:pPr>
        <w:pStyle w:val="Odstavecseseznamem"/>
        <w:numPr>
          <w:ilvl w:val="0"/>
          <w:numId w:val="39"/>
        </w:numPr>
        <w:spacing w:line="240" w:lineRule="auto"/>
        <w:jc w:val="both"/>
        <w:rPr>
          <w:rFonts w:asciiTheme="majorHAnsi" w:eastAsia="Times New Roman" w:hAnsiTheme="majorHAnsi" w:cs="Times New Roman"/>
          <w:lang w:eastAsia="cs-CZ"/>
        </w:rPr>
      </w:pPr>
      <w:r w:rsidRPr="00573DF5">
        <w:rPr>
          <w:rFonts w:asciiTheme="majorHAnsi" w:eastAsia="Times New Roman" w:hAnsiTheme="majorHAnsi" w:cs="Times New Roman"/>
          <w:lang w:eastAsia="cs-CZ"/>
        </w:rPr>
        <w:t>Realizace procesu zadávání zakázek v režimu zákona nebo mimo jeho režim, účast na jednání komisí pro otevírání nabídek a komisí pro hodnocení nabídek a pos</w:t>
      </w:r>
      <w:r w:rsidR="00573DF5" w:rsidRPr="00573DF5">
        <w:rPr>
          <w:rFonts w:asciiTheme="majorHAnsi" w:eastAsia="Times New Roman" w:hAnsiTheme="majorHAnsi" w:cs="Times New Roman"/>
          <w:lang w:eastAsia="cs-CZ"/>
        </w:rPr>
        <w:t>uzování</w:t>
      </w:r>
      <w:r w:rsidRPr="00573DF5">
        <w:rPr>
          <w:rFonts w:asciiTheme="majorHAnsi" w:eastAsia="Times New Roman" w:hAnsiTheme="majorHAnsi" w:cs="Times New Roman"/>
          <w:lang w:eastAsia="cs-CZ"/>
        </w:rPr>
        <w:t xml:space="preserve"> nabídek.</w:t>
      </w:r>
    </w:p>
    <w:p w:rsidR="00BE16DE" w:rsidRPr="00573DF5" w:rsidRDefault="00AB0EFE" w:rsidP="00AB0EFE">
      <w:pPr>
        <w:pStyle w:val="Odstavecseseznamem"/>
        <w:numPr>
          <w:ilvl w:val="0"/>
          <w:numId w:val="39"/>
        </w:numPr>
        <w:spacing w:line="240" w:lineRule="auto"/>
        <w:jc w:val="both"/>
        <w:rPr>
          <w:rFonts w:asciiTheme="majorHAnsi" w:hAnsiTheme="majorHAnsi" w:cs="Times New Roman"/>
        </w:rPr>
      </w:pPr>
      <w:r w:rsidRPr="00573DF5">
        <w:rPr>
          <w:rFonts w:asciiTheme="majorHAnsi" w:eastAsia="Times New Roman" w:hAnsiTheme="majorHAnsi" w:cs="Times New Roman"/>
          <w:lang w:eastAsia="cs-CZ"/>
        </w:rPr>
        <w:t>Zpracová</w:t>
      </w:r>
      <w:r w:rsidR="00573DF5" w:rsidRPr="00573DF5">
        <w:rPr>
          <w:rFonts w:asciiTheme="majorHAnsi" w:eastAsia="Times New Roman" w:hAnsiTheme="majorHAnsi" w:cs="Times New Roman"/>
          <w:lang w:eastAsia="cs-CZ"/>
        </w:rPr>
        <w:t>ní stanovisek</w:t>
      </w:r>
      <w:r w:rsidRPr="00573DF5">
        <w:rPr>
          <w:rFonts w:asciiTheme="majorHAnsi" w:eastAsia="Times New Roman" w:hAnsiTheme="majorHAnsi" w:cs="Times New Roman"/>
          <w:lang w:eastAsia="cs-CZ"/>
        </w:rPr>
        <w:t xml:space="preserve"> pro zadavatele při řešení stížností a námitek podaných proti úkonům zadavatel</w:t>
      </w:r>
      <w:r w:rsidR="00573DF5" w:rsidRPr="00573DF5">
        <w:rPr>
          <w:rFonts w:asciiTheme="majorHAnsi" w:eastAsia="Times New Roman" w:hAnsiTheme="majorHAnsi" w:cs="Times New Roman"/>
          <w:lang w:eastAsia="cs-CZ"/>
        </w:rPr>
        <w:t>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w:t>
      </w:r>
      <w:r w:rsidRPr="007B4D2B">
        <w:rPr>
          <w:rFonts w:ascii="Cambria" w:hAnsi="Cambria" w:cs="Cambria"/>
        </w:rPr>
        <w:lastRenderedPageBreak/>
        <w:t>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AB0EFE">
        <w:rPr>
          <w:rFonts w:ascii="Cambria" w:hAnsi="Cambria" w:cs="Cambria"/>
          <w:b/>
        </w:rPr>
        <w:t>600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F5649E">
        <w:rPr>
          <w:rFonts w:ascii="Cambria" w:hAnsi="Cambria" w:cs="Cambria"/>
          <w:b/>
          <w:bCs/>
          <w:color w:val="000000"/>
        </w:rPr>
        <w:t>říjen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AB0EFE">
        <w:rPr>
          <w:rFonts w:ascii="Cambria" w:hAnsi="Cambria" w:cs="Cambria"/>
          <w:b/>
          <w:color w:val="000000"/>
        </w:rPr>
        <w:t>4</w:t>
      </w:r>
      <w:r w:rsidR="00AF1468">
        <w:rPr>
          <w:rFonts w:ascii="Cambria" w:hAnsi="Cambria" w:cs="Cambria"/>
          <w:b/>
          <w:color w:val="000000"/>
        </w:rPr>
        <w:t>.</w:t>
      </w:r>
      <w:r w:rsidR="00B908F9">
        <w:rPr>
          <w:rFonts w:ascii="Cambria" w:hAnsi="Cambria" w:cs="Cambria"/>
          <w:b/>
          <w:color w:val="000000"/>
        </w:rPr>
        <w:t xml:space="preserve"> září</w:t>
      </w:r>
      <w:r w:rsidR="00AF1468">
        <w:rPr>
          <w:rFonts w:ascii="Cambria" w:hAnsi="Cambria" w:cs="Cambria"/>
          <w:b/>
          <w:color w:val="000000"/>
        </w:rPr>
        <w:t xml:space="preserve"> 2025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164F4C" w:rsidRPr="00164F4C">
        <w:rPr>
          <w:rFonts w:asciiTheme="majorHAnsi" w:eastAsia="Times New Roman" w:hAnsiTheme="majorHAnsi" w:cs="Times New Roman"/>
          <w:b/>
          <w:bCs/>
          <w:color w:val="000000" w:themeColor="text1"/>
          <w:lang w:eastAsia="cs-CZ"/>
        </w:rPr>
        <w:t xml:space="preserve">ministerský rada oddělení </w:t>
      </w:r>
      <w:r w:rsidR="00E86DCE">
        <w:rPr>
          <w:rFonts w:asciiTheme="majorHAnsi" w:eastAsia="Times New Roman" w:hAnsiTheme="majorHAnsi" w:cs="Times New Roman"/>
          <w:b/>
          <w:bCs/>
          <w:color w:val="000000" w:themeColor="text1"/>
          <w:lang w:eastAsia="cs-CZ"/>
        </w:rPr>
        <w:t xml:space="preserve">služeb </w:t>
      </w:r>
      <w:r w:rsidR="00AB0EFE">
        <w:rPr>
          <w:rFonts w:asciiTheme="majorHAnsi" w:eastAsia="Times New Roman" w:hAnsiTheme="majorHAnsi" w:cs="Times New Roman"/>
          <w:b/>
          <w:bCs/>
          <w:color w:val="000000" w:themeColor="text1"/>
          <w:lang w:eastAsia="cs-CZ"/>
        </w:rPr>
        <w:t>nemovité infrastruktury odboru nemovité infrastruktury</w:t>
      </w:r>
      <w:r w:rsidR="00164F4C" w:rsidRPr="00164F4C">
        <w:rPr>
          <w:rFonts w:asciiTheme="majorHAnsi" w:eastAsia="Times New Roman" w:hAnsiTheme="majorHAnsi" w:cs="Times New Roman"/>
          <w:b/>
          <w:bCs/>
          <w:color w:val="000000" w:themeColor="text1"/>
          <w:lang w:eastAsia="cs-CZ"/>
        </w:rPr>
        <w:t xml:space="preserve"> sekce majetkové Ministerstva obrany (</w:t>
      </w:r>
      <w:proofErr w:type="spellStart"/>
      <w:r w:rsidR="00164F4C" w:rsidRPr="00164F4C">
        <w:rPr>
          <w:rFonts w:asciiTheme="majorHAnsi" w:eastAsia="Times New Roman" w:hAnsiTheme="majorHAnsi" w:cs="Times New Roman"/>
          <w:b/>
          <w:bCs/>
          <w:color w:val="000000" w:themeColor="text1"/>
          <w:lang w:eastAsia="cs-CZ"/>
        </w:rPr>
        <w:t>extID</w:t>
      </w:r>
      <w:proofErr w:type="spellEnd"/>
      <w:r w:rsidR="00164F4C" w:rsidRPr="00164F4C">
        <w:rPr>
          <w:rFonts w:asciiTheme="majorHAnsi" w:eastAsia="Times New Roman" w:hAnsiTheme="majorHAnsi" w:cs="Times New Roman"/>
          <w:b/>
          <w:bCs/>
          <w:color w:val="000000" w:themeColor="text1"/>
          <w:lang w:eastAsia="cs-CZ"/>
        </w:rPr>
        <w:t> 202</w:t>
      </w:r>
      <w:r w:rsidR="00AB0EFE">
        <w:rPr>
          <w:rFonts w:asciiTheme="majorHAnsi" w:eastAsia="Times New Roman" w:hAnsiTheme="majorHAnsi" w:cs="Times New Roman"/>
          <w:b/>
          <w:bCs/>
          <w:color w:val="000000" w:themeColor="text1"/>
          <w:lang w:eastAsia="cs-CZ"/>
        </w:rPr>
        <w:t>4 0013 2203</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Default="00250163" w:rsidP="00CB145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AC3363">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AC3363">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573DF5" w:rsidRDefault="00573DF5" w:rsidP="00573DF5">
      <w:pPr>
        <w:tabs>
          <w:tab w:val="left" w:pos="567"/>
        </w:tabs>
        <w:spacing w:before="120" w:after="120" w:line="240" w:lineRule="auto"/>
        <w:jc w:val="both"/>
        <w:rPr>
          <w:rFonts w:asciiTheme="majorHAnsi" w:eastAsia="Times New Roman" w:hAnsiTheme="majorHAnsi" w:cs="Times New Roman"/>
          <w:lang w:eastAsia="cs-CZ"/>
        </w:rPr>
      </w:pPr>
    </w:p>
    <w:p w:rsidR="00573DF5" w:rsidRPr="00573DF5" w:rsidRDefault="00573DF5" w:rsidP="00573DF5">
      <w:pPr>
        <w:tabs>
          <w:tab w:val="left" w:pos="567"/>
        </w:tabs>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B15072" w:rsidRPr="00B15072" w:rsidRDefault="00B15072" w:rsidP="00B15072">
      <w:pPr>
        <w:widowControl w:val="0"/>
        <w:spacing w:after="0" w:line="240" w:lineRule="auto"/>
        <w:ind w:left="5670"/>
        <w:jc w:val="center"/>
        <w:rPr>
          <w:rFonts w:asciiTheme="majorHAnsi" w:hAnsiTheme="majorHAnsi" w:cs="Times New Roman"/>
        </w:rPr>
      </w:pPr>
      <w:r w:rsidRPr="00B15072">
        <w:rPr>
          <w:rFonts w:asciiTheme="majorHAnsi" w:hAnsiTheme="majorHAnsi" w:cs="Times New Roman"/>
        </w:rPr>
        <w:t>Ing. Petr Vančura</w:t>
      </w:r>
    </w:p>
    <w:p w:rsidR="00B15072" w:rsidRPr="00B15072" w:rsidRDefault="00B15072" w:rsidP="00B15072">
      <w:pPr>
        <w:widowControl w:val="0"/>
        <w:spacing w:after="0" w:line="240" w:lineRule="auto"/>
        <w:ind w:left="5670"/>
        <w:jc w:val="center"/>
        <w:rPr>
          <w:rFonts w:asciiTheme="majorHAnsi" w:hAnsiTheme="majorHAnsi" w:cs="Times New Roman"/>
        </w:rPr>
      </w:pPr>
      <w:r w:rsidRPr="00B15072">
        <w:rPr>
          <w:rFonts w:asciiTheme="majorHAnsi" w:hAnsiTheme="majorHAnsi" w:cs="Times New Roman"/>
        </w:rPr>
        <w:t>státní tajemník v Ministerstvu obrany</w:t>
      </w:r>
    </w:p>
    <w:p w:rsidR="00B15072" w:rsidRPr="00573DF5" w:rsidRDefault="001246B9" w:rsidP="00B15072">
      <w:pPr>
        <w:widowControl w:val="0"/>
        <w:spacing w:after="0" w:line="240" w:lineRule="auto"/>
        <w:ind w:left="5670"/>
        <w:jc w:val="center"/>
        <w:rPr>
          <w:rFonts w:asciiTheme="majorHAnsi" w:hAnsiTheme="majorHAnsi" w:cs="Times New Roman"/>
          <w:i/>
        </w:rPr>
      </w:pPr>
      <w:r w:rsidRPr="00573DF5">
        <w:rPr>
          <w:rFonts w:asciiTheme="majorHAnsi" w:hAnsiTheme="majorHAnsi" w:cs="Times New Roman"/>
          <w:i/>
        </w:rPr>
        <w:t xml:space="preserve"> </w:t>
      </w:r>
      <w:bookmarkStart w:id="0" w:name="_GoBack"/>
      <w:bookmarkEnd w:id="0"/>
    </w:p>
    <w:p w:rsidR="00C17E0F" w:rsidRPr="00573DF5" w:rsidRDefault="00C17E0F" w:rsidP="002F79D2">
      <w:pPr>
        <w:widowControl w:val="0"/>
        <w:spacing w:after="0" w:line="240" w:lineRule="auto"/>
        <w:ind w:left="5670"/>
        <w:jc w:val="center"/>
        <w:rPr>
          <w:rFonts w:asciiTheme="majorHAnsi" w:hAnsiTheme="majorHAnsi" w:cs="Times New Roman"/>
          <w:i/>
        </w:rPr>
      </w:pPr>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C143E7" w:rsidRDefault="00C143E7" w:rsidP="00EA57C7">
      <w:pPr>
        <w:spacing w:before="120" w:after="0" w:line="240" w:lineRule="auto"/>
        <w:jc w:val="both"/>
        <w:rPr>
          <w:rFonts w:asciiTheme="majorHAnsi" w:hAnsiTheme="majorHAnsi" w:cs="Times New Roman"/>
        </w:rPr>
      </w:pPr>
    </w:p>
    <w:p w:rsidR="00C143E7" w:rsidRDefault="00C143E7" w:rsidP="00EA57C7">
      <w:pPr>
        <w:spacing w:before="120" w:after="0" w:line="240" w:lineRule="auto"/>
        <w:jc w:val="both"/>
        <w:rPr>
          <w:rFonts w:asciiTheme="majorHAnsi" w:hAnsiTheme="majorHAnsi" w:cs="Times New Roman"/>
        </w:rPr>
      </w:pPr>
    </w:p>
    <w:p w:rsidR="00C143E7" w:rsidRDefault="00C143E7"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1246B9" w:rsidRDefault="001246B9" w:rsidP="00EA57C7">
      <w:pPr>
        <w:spacing w:before="120" w:after="0" w:line="240" w:lineRule="auto"/>
        <w:jc w:val="both"/>
        <w:rPr>
          <w:rFonts w:asciiTheme="majorHAnsi" w:hAnsiTheme="majorHAnsi" w:cs="Times New Roman"/>
        </w:rPr>
      </w:pPr>
    </w:p>
    <w:p w:rsidR="001246B9" w:rsidRDefault="001246B9" w:rsidP="00EA57C7">
      <w:pPr>
        <w:spacing w:before="120" w:after="0" w:line="240" w:lineRule="auto"/>
        <w:jc w:val="both"/>
        <w:rPr>
          <w:rFonts w:asciiTheme="majorHAnsi" w:hAnsiTheme="majorHAnsi" w:cs="Times New Roman"/>
        </w:rPr>
      </w:pPr>
    </w:p>
    <w:p w:rsidR="001246B9" w:rsidRDefault="001246B9"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573DF5" w:rsidRDefault="00573DF5" w:rsidP="00EA57C7">
      <w:pPr>
        <w:spacing w:before="120" w:after="0" w:line="240" w:lineRule="auto"/>
        <w:jc w:val="both"/>
        <w:rPr>
          <w:rFonts w:asciiTheme="majorHAnsi" w:hAnsiTheme="majorHAnsi" w:cs="Times New Roman"/>
        </w:rPr>
      </w:pPr>
    </w:p>
    <w:p w:rsidR="00573DF5" w:rsidRDefault="00573DF5" w:rsidP="00EA57C7">
      <w:pPr>
        <w:spacing w:before="120" w:after="0" w:line="240" w:lineRule="auto"/>
        <w:jc w:val="both"/>
        <w:rPr>
          <w:rFonts w:asciiTheme="majorHAnsi" w:hAnsiTheme="majorHAnsi" w:cs="Times New Roman"/>
        </w:rPr>
      </w:pPr>
    </w:p>
    <w:p w:rsidR="00573DF5" w:rsidRDefault="00573DF5"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p w:rsidR="00573DF5" w:rsidRDefault="00573DF5" w:rsidP="005F1BE3">
      <w:pPr>
        <w:spacing w:before="120" w:after="0" w:line="216" w:lineRule="auto"/>
        <w:jc w:val="both"/>
        <w:rPr>
          <w:rStyle w:val="Hypertextovodkaz"/>
          <w:rFonts w:eastAsiaTheme="minorEastAsia"/>
        </w:rPr>
      </w:pPr>
    </w:p>
    <w:p w:rsidR="00573DF5" w:rsidRDefault="00573DF5" w:rsidP="005F1BE3">
      <w:pPr>
        <w:spacing w:before="120" w:after="0" w:line="216" w:lineRule="auto"/>
        <w:jc w:val="both"/>
        <w:rPr>
          <w:rStyle w:val="Hypertextovodkaz"/>
          <w:rFonts w:eastAsiaTheme="minorEastAsi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73DF5">
      <w:footerReference w:type="default" r:id="rId13"/>
      <w:pgSz w:w="11907" w:h="16839" w:code="9"/>
      <w:pgMar w:top="1134" w:right="1134" w:bottom="993"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6FE" w:rsidRDefault="00A876FE">
      <w:pPr>
        <w:spacing w:after="0" w:line="240" w:lineRule="auto"/>
      </w:pPr>
      <w:r>
        <w:separator/>
      </w:r>
    </w:p>
  </w:endnote>
  <w:endnote w:type="continuationSeparator" w:id="0">
    <w:p w:rsidR="00A876FE" w:rsidRDefault="00A8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D154E8">
    <w:pPr>
      <w:pStyle w:val="Zpat"/>
      <w:jc w:val="center"/>
    </w:pPr>
  </w:p>
  <w:p w:rsidR="001873E3" w:rsidRDefault="00D154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6FE" w:rsidRDefault="00A876FE">
      <w:pPr>
        <w:spacing w:after="0" w:line="240" w:lineRule="auto"/>
      </w:pPr>
      <w:r>
        <w:separator/>
      </w:r>
    </w:p>
  </w:footnote>
  <w:footnote w:type="continuationSeparator" w:id="0">
    <w:p w:rsidR="00A876FE" w:rsidRDefault="00A876FE">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26B5"/>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2EB8"/>
    <w:rsid w:val="00103409"/>
    <w:rsid w:val="001041CA"/>
    <w:rsid w:val="001072C0"/>
    <w:rsid w:val="0011027D"/>
    <w:rsid w:val="0011176F"/>
    <w:rsid w:val="00111AC4"/>
    <w:rsid w:val="001151DA"/>
    <w:rsid w:val="00115E91"/>
    <w:rsid w:val="00117857"/>
    <w:rsid w:val="001210F9"/>
    <w:rsid w:val="001218D1"/>
    <w:rsid w:val="00121A32"/>
    <w:rsid w:val="00123077"/>
    <w:rsid w:val="001246B9"/>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64F4C"/>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0652"/>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D7100"/>
    <w:rsid w:val="001E11A0"/>
    <w:rsid w:val="001E123F"/>
    <w:rsid w:val="001E310D"/>
    <w:rsid w:val="001E4C02"/>
    <w:rsid w:val="001E5EB6"/>
    <w:rsid w:val="001E62B8"/>
    <w:rsid w:val="001F25C5"/>
    <w:rsid w:val="001F32E5"/>
    <w:rsid w:val="001F4A48"/>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47EE8"/>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239E"/>
    <w:rsid w:val="00363D38"/>
    <w:rsid w:val="00363F43"/>
    <w:rsid w:val="00365EBD"/>
    <w:rsid w:val="00366126"/>
    <w:rsid w:val="00366A81"/>
    <w:rsid w:val="00367C2F"/>
    <w:rsid w:val="00367E1C"/>
    <w:rsid w:val="00372F77"/>
    <w:rsid w:val="00375300"/>
    <w:rsid w:val="0038166C"/>
    <w:rsid w:val="00384578"/>
    <w:rsid w:val="00390184"/>
    <w:rsid w:val="003915C9"/>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1832"/>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9E2"/>
    <w:rsid w:val="003F5FAD"/>
    <w:rsid w:val="003F6DC7"/>
    <w:rsid w:val="003F76A8"/>
    <w:rsid w:val="004014AD"/>
    <w:rsid w:val="0040272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194"/>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73DF5"/>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6830"/>
    <w:rsid w:val="005C785F"/>
    <w:rsid w:val="005D0846"/>
    <w:rsid w:val="005D094A"/>
    <w:rsid w:val="005D176D"/>
    <w:rsid w:val="005D2546"/>
    <w:rsid w:val="005D5213"/>
    <w:rsid w:val="005D77E1"/>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4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3945"/>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095"/>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4D46"/>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3F1"/>
    <w:rsid w:val="00882D2F"/>
    <w:rsid w:val="008843D8"/>
    <w:rsid w:val="00884908"/>
    <w:rsid w:val="008865FE"/>
    <w:rsid w:val="008908B5"/>
    <w:rsid w:val="00890E5B"/>
    <w:rsid w:val="00893421"/>
    <w:rsid w:val="00895764"/>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D4EBE"/>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3874"/>
    <w:rsid w:val="009F4981"/>
    <w:rsid w:val="009F50B6"/>
    <w:rsid w:val="009F5890"/>
    <w:rsid w:val="009F64A5"/>
    <w:rsid w:val="00A00697"/>
    <w:rsid w:val="00A0463C"/>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6FE"/>
    <w:rsid w:val="00A87BF1"/>
    <w:rsid w:val="00A94553"/>
    <w:rsid w:val="00A94F45"/>
    <w:rsid w:val="00A95634"/>
    <w:rsid w:val="00A96B00"/>
    <w:rsid w:val="00AA0F23"/>
    <w:rsid w:val="00AA7AF1"/>
    <w:rsid w:val="00AB0EFE"/>
    <w:rsid w:val="00AB1B18"/>
    <w:rsid w:val="00AB4ACA"/>
    <w:rsid w:val="00AB4D3C"/>
    <w:rsid w:val="00AB66E5"/>
    <w:rsid w:val="00AB6D09"/>
    <w:rsid w:val="00AB77D9"/>
    <w:rsid w:val="00AB7EA8"/>
    <w:rsid w:val="00AC057E"/>
    <w:rsid w:val="00AC3363"/>
    <w:rsid w:val="00AC6F3C"/>
    <w:rsid w:val="00AC7141"/>
    <w:rsid w:val="00AD2510"/>
    <w:rsid w:val="00AD3493"/>
    <w:rsid w:val="00AD49D1"/>
    <w:rsid w:val="00AD5A25"/>
    <w:rsid w:val="00AE09EB"/>
    <w:rsid w:val="00AF1468"/>
    <w:rsid w:val="00AF2E22"/>
    <w:rsid w:val="00AF3B8B"/>
    <w:rsid w:val="00AF3C94"/>
    <w:rsid w:val="00AF4DC3"/>
    <w:rsid w:val="00AF50CC"/>
    <w:rsid w:val="00AF69FA"/>
    <w:rsid w:val="00AF7948"/>
    <w:rsid w:val="00B00C3C"/>
    <w:rsid w:val="00B00E2D"/>
    <w:rsid w:val="00B02D48"/>
    <w:rsid w:val="00B04822"/>
    <w:rsid w:val="00B10697"/>
    <w:rsid w:val="00B1386E"/>
    <w:rsid w:val="00B139D7"/>
    <w:rsid w:val="00B13EA2"/>
    <w:rsid w:val="00B14AD6"/>
    <w:rsid w:val="00B15072"/>
    <w:rsid w:val="00B203CC"/>
    <w:rsid w:val="00B23080"/>
    <w:rsid w:val="00B23FC8"/>
    <w:rsid w:val="00B2453D"/>
    <w:rsid w:val="00B33FDF"/>
    <w:rsid w:val="00B40F0C"/>
    <w:rsid w:val="00B4233A"/>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08F9"/>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40D3"/>
    <w:rsid w:val="00C143E7"/>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758A8"/>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0EB6"/>
    <w:rsid w:val="00CF703D"/>
    <w:rsid w:val="00CF7DA1"/>
    <w:rsid w:val="00D01C39"/>
    <w:rsid w:val="00D01C45"/>
    <w:rsid w:val="00D03858"/>
    <w:rsid w:val="00D04D23"/>
    <w:rsid w:val="00D05637"/>
    <w:rsid w:val="00D06C67"/>
    <w:rsid w:val="00D073BB"/>
    <w:rsid w:val="00D078C9"/>
    <w:rsid w:val="00D110AA"/>
    <w:rsid w:val="00D14E9F"/>
    <w:rsid w:val="00D154E8"/>
    <w:rsid w:val="00D258DA"/>
    <w:rsid w:val="00D26567"/>
    <w:rsid w:val="00D2659D"/>
    <w:rsid w:val="00D26B11"/>
    <w:rsid w:val="00D2711B"/>
    <w:rsid w:val="00D302DC"/>
    <w:rsid w:val="00D31D5F"/>
    <w:rsid w:val="00D327DF"/>
    <w:rsid w:val="00D33ED8"/>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7E2E"/>
    <w:rsid w:val="00DC0DD7"/>
    <w:rsid w:val="00DC1B01"/>
    <w:rsid w:val="00DC379E"/>
    <w:rsid w:val="00DC5AEE"/>
    <w:rsid w:val="00DD13A7"/>
    <w:rsid w:val="00DD2981"/>
    <w:rsid w:val="00DD44B3"/>
    <w:rsid w:val="00DD5108"/>
    <w:rsid w:val="00DD51CB"/>
    <w:rsid w:val="00DD588C"/>
    <w:rsid w:val="00DE1CD8"/>
    <w:rsid w:val="00DE3681"/>
    <w:rsid w:val="00DE4E43"/>
    <w:rsid w:val="00DE6C6D"/>
    <w:rsid w:val="00DE7C62"/>
    <w:rsid w:val="00DF0CBA"/>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6DCE"/>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518E"/>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5649E"/>
    <w:rsid w:val="00F63274"/>
    <w:rsid w:val="00F67791"/>
    <w:rsid w:val="00F706D6"/>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093C"/>
    <w:rsid w:val="00FB2C38"/>
    <w:rsid w:val="00FB3D88"/>
    <w:rsid w:val="00FB3D8D"/>
    <w:rsid w:val="00FB4B50"/>
    <w:rsid w:val="00FB4B88"/>
    <w:rsid w:val="00FB5196"/>
    <w:rsid w:val="00FB5A0C"/>
    <w:rsid w:val="00FB62B9"/>
    <w:rsid w:val="00FC0AA9"/>
    <w:rsid w:val="00FC2CE3"/>
    <w:rsid w:val="00FC5D21"/>
    <w:rsid w:val="00FC6B31"/>
    <w:rsid w:val="00FC7BD2"/>
    <w:rsid w:val="00FD0FFD"/>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4731-BF8D-4EA9-B84D-1F747AA6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1822</Words>
  <Characters>10751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2025-07-14T07:25:00Z</dcterms:created>
  <dcterms:modified xsi:type="dcterms:W3CDTF">2025-08-12T13:26:00Z</dcterms:modified>
</cp:coreProperties>
</file>