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226788">
        <w:rPr>
          <w:rFonts w:asciiTheme="majorHAnsi" w:hAnsiTheme="majorHAnsi" w:cs="Times New Roman"/>
        </w:rPr>
        <w:t xml:space="preserve"> </w:t>
      </w:r>
      <w:r w:rsidR="006C1ACC">
        <w:rPr>
          <w:rFonts w:asciiTheme="majorHAnsi" w:hAnsiTheme="majorHAnsi" w:cs="Times New Roman"/>
        </w:rPr>
        <w:t>19</w:t>
      </w:r>
      <w:r w:rsidR="00B220C6">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220C6">
        <w:rPr>
          <w:rFonts w:asciiTheme="majorHAnsi" w:hAnsiTheme="majorHAnsi" w:cs="Times New Roman"/>
        </w:rPr>
        <w:t>0</w:t>
      </w:r>
      <w:r w:rsidR="001D0950">
        <w:rPr>
          <w:rFonts w:asciiTheme="majorHAnsi" w:hAnsiTheme="majorHAnsi" w:cs="Times New Roman"/>
        </w:rPr>
        <w:t>896</w:t>
      </w:r>
      <w:r w:rsidRPr="004F522B">
        <w:rPr>
          <w:rFonts w:asciiTheme="majorHAnsi" w:hAnsiTheme="majorHAnsi" w:cs="Times New Roman"/>
        </w:rPr>
        <w:t>-</w:t>
      </w:r>
      <w:r w:rsidR="001D0950">
        <w:rPr>
          <w:rFonts w:asciiTheme="majorHAnsi" w:hAnsiTheme="majorHAnsi" w:cs="Times New Roman"/>
        </w:rPr>
        <w:t>7</w:t>
      </w:r>
      <w:r w:rsidR="00BD7D67">
        <w:rPr>
          <w:rFonts w:asciiTheme="majorHAnsi" w:hAnsiTheme="majorHAnsi" w:cs="Times New Roman"/>
        </w:rPr>
        <w:t>/202</w:t>
      </w:r>
      <w:r w:rsidR="001D0950">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0B58BC">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5A6A2D">
        <w:rPr>
          <w:rFonts w:asciiTheme="majorHAnsi" w:hAnsiTheme="majorHAnsi" w:cs="Times New Roman"/>
          <w:b/>
          <w:color w:val="C00000"/>
        </w:rPr>
        <w:t>20</w:t>
      </w:r>
      <w:r w:rsidR="00B220C6">
        <w:rPr>
          <w:rFonts w:asciiTheme="majorHAnsi" w:hAnsiTheme="majorHAnsi" w:cs="Times New Roman"/>
          <w:b/>
          <w:color w:val="C00000"/>
        </w:rPr>
        <w:t>.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0C1E8A" w:rsidRPr="000C1E8A">
        <w:rPr>
          <w:rFonts w:asciiTheme="majorHAnsi" w:eastAsia="Times New Roman" w:hAnsiTheme="majorHAnsi" w:cs="Times New Roman"/>
          <w:b/>
          <w:bCs/>
          <w:color w:val="C00000"/>
          <w:lang w:eastAsia="cs-CZ"/>
        </w:rPr>
        <w:t>rada/ministerský rada oddělení státního dozoru odboru ochrany územních zájmů a státního odborného dozoru sekce majetkové Ministerstva obrany (</w:t>
      </w:r>
      <w:proofErr w:type="spellStart"/>
      <w:r w:rsidR="000C1E8A" w:rsidRPr="000C1E8A">
        <w:rPr>
          <w:rFonts w:asciiTheme="majorHAnsi" w:eastAsia="Times New Roman" w:hAnsiTheme="majorHAnsi" w:cs="Times New Roman"/>
          <w:b/>
          <w:bCs/>
          <w:color w:val="C00000"/>
          <w:lang w:eastAsia="cs-CZ"/>
        </w:rPr>
        <w:t>extID</w:t>
      </w:r>
      <w:proofErr w:type="spellEnd"/>
      <w:r w:rsidR="000C1E8A" w:rsidRPr="000C1E8A">
        <w:rPr>
          <w:rFonts w:asciiTheme="majorHAnsi" w:eastAsia="Times New Roman" w:hAnsiTheme="majorHAnsi" w:cs="Times New Roman"/>
          <w:b/>
          <w:bCs/>
          <w:color w:val="C00000"/>
          <w:lang w:eastAsia="cs-CZ"/>
        </w:rPr>
        <w:t> 2024 0013 2209</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2F3EF9" w:rsidRPr="002F3EF9">
        <w:rPr>
          <w:rFonts w:asciiTheme="majorHAnsi" w:hAnsiTheme="majorHAnsi" w:cs="Times New Roman"/>
        </w:rPr>
        <w:t>Generála Píky 1, Praha 6, PSČ 160 00</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001D0950" w:rsidRPr="001D0950">
        <w:rPr>
          <w:rFonts w:asciiTheme="majorHAnsi" w:hAnsiTheme="majorHAnsi" w:cs="Times New Roman"/>
          <w:b/>
        </w:rPr>
        <w:t>Krizové řízení, ochrana obyvatelstva a integrovaný záchranný systém (č. 25) a Obrana (č. 49</w:t>
      </w:r>
      <w:r>
        <w:rPr>
          <w:rFonts w:asciiTheme="majorHAnsi" w:hAnsiTheme="majorHAnsi" w:cs="Times New Roman"/>
          <w:b/>
        </w:rPr>
        <w:t>).</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7F0E20" w:rsidRPr="00815EDF" w:rsidRDefault="007F0E20" w:rsidP="007F0E20">
      <w:pPr>
        <w:pStyle w:val="Odstavecseseznamem"/>
        <w:numPr>
          <w:ilvl w:val="0"/>
          <w:numId w:val="39"/>
        </w:numPr>
        <w:spacing w:after="120" w:line="240" w:lineRule="auto"/>
        <w:jc w:val="both"/>
        <w:rPr>
          <w:rFonts w:asciiTheme="majorHAnsi" w:hAnsiTheme="majorHAnsi" w:cs="Times New Roman"/>
        </w:rPr>
      </w:pPr>
      <w:r w:rsidRPr="00815EDF">
        <w:rPr>
          <w:rFonts w:asciiTheme="majorHAnsi" w:hAnsiTheme="majorHAnsi" w:cs="Times New Roman"/>
        </w:rPr>
        <w:t>Zajišťování připravenosti ministerstev nebo dalších ústředních správních úřadů na řešení krizových situací v oboru své působnosti.</w:t>
      </w:r>
    </w:p>
    <w:p w:rsidR="007F0E20" w:rsidRPr="00815EDF" w:rsidRDefault="007F0E20" w:rsidP="007F0E20">
      <w:pPr>
        <w:pStyle w:val="Odstavecseseznamem"/>
        <w:numPr>
          <w:ilvl w:val="0"/>
          <w:numId w:val="39"/>
        </w:numPr>
        <w:spacing w:after="120" w:line="240" w:lineRule="auto"/>
        <w:jc w:val="both"/>
        <w:rPr>
          <w:rFonts w:asciiTheme="majorHAnsi" w:hAnsiTheme="majorHAnsi" w:cs="Times New Roman"/>
        </w:rPr>
      </w:pPr>
      <w:r w:rsidRPr="00815EDF">
        <w:rPr>
          <w:rFonts w:asciiTheme="majorHAnsi" w:hAnsiTheme="majorHAnsi" w:cs="Times New Roman"/>
        </w:rPr>
        <w:t>Zajišť</w:t>
      </w:r>
      <w:r>
        <w:rPr>
          <w:rFonts w:asciiTheme="majorHAnsi" w:hAnsiTheme="majorHAnsi" w:cs="Times New Roman"/>
        </w:rPr>
        <w:t>ování</w:t>
      </w:r>
      <w:r w:rsidRPr="00815EDF">
        <w:rPr>
          <w:rFonts w:asciiTheme="majorHAnsi" w:hAnsiTheme="majorHAnsi" w:cs="Times New Roman"/>
        </w:rPr>
        <w:t xml:space="preserve"> komplexní</w:t>
      </w:r>
      <w:r>
        <w:rPr>
          <w:rFonts w:asciiTheme="majorHAnsi" w:hAnsiTheme="majorHAnsi" w:cs="Times New Roman"/>
        </w:rPr>
        <w:t>ho</w:t>
      </w:r>
      <w:r w:rsidRPr="00815EDF">
        <w:rPr>
          <w:rFonts w:asciiTheme="majorHAnsi" w:hAnsiTheme="majorHAnsi" w:cs="Times New Roman"/>
        </w:rPr>
        <w:t xml:space="preserve"> výkon</w:t>
      </w:r>
      <w:r>
        <w:rPr>
          <w:rFonts w:asciiTheme="majorHAnsi" w:hAnsiTheme="majorHAnsi" w:cs="Times New Roman"/>
        </w:rPr>
        <w:t>u</w:t>
      </w:r>
      <w:r w:rsidRPr="00815EDF">
        <w:rPr>
          <w:rFonts w:asciiTheme="majorHAnsi" w:hAnsiTheme="majorHAnsi" w:cs="Times New Roman"/>
        </w:rPr>
        <w:t xml:space="preserve"> dozoru nad zákonností právních předpisů a jiných opatření orgánů nebo územních správních úřadů včetně poradenské a konzultační činnosti v oboru státní správy s</w:t>
      </w:r>
      <w:r>
        <w:rPr>
          <w:rFonts w:asciiTheme="majorHAnsi" w:hAnsiTheme="majorHAnsi" w:cs="Times New Roman"/>
        </w:rPr>
        <w:t> </w:t>
      </w:r>
      <w:r w:rsidRPr="00815EDF">
        <w:rPr>
          <w:rFonts w:asciiTheme="majorHAnsi" w:hAnsiTheme="majorHAnsi" w:cs="Times New Roman"/>
        </w:rPr>
        <w:t>celostátní působností.</w:t>
      </w:r>
    </w:p>
    <w:p w:rsidR="007F0E20" w:rsidRPr="00815EDF" w:rsidRDefault="007F0E20" w:rsidP="007F0E20">
      <w:pPr>
        <w:pStyle w:val="Odstavecseseznamem"/>
        <w:numPr>
          <w:ilvl w:val="0"/>
          <w:numId w:val="39"/>
        </w:numPr>
        <w:spacing w:after="120" w:line="240" w:lineRule="auto"/>
        <w:jc w:val="both"/>
        <w:rPr>
          <w:rFonts w:asciiTheme="majorHAnsi" w:hAnsiTheme="majorHAnsi" w:cs="Times New Roman"/>
        </w:rPr>
      </w:pPr>
      <w:r>
        <w:rPr>
          <w:rFonts w:asciiTheme="majorHAnsi" w:hAnsiTheme="majorHAnsi" w:cs="Times New Roman"/>
        </w:rPr>
        <w:t>Komplexní zajišťování</w:t>
      </w:r>
      <w:r w:rsidRPr="00815EDF">
        <w:rPr>
          <w:rFonts w:asciiTheme="majorHAnsi" w:hAnsiTheme="majorHAnsi" w:cs="Times New Roman"/>
        </w:rPr>
        <w:t xml:space="preserve"> výkon</w:t>
      </w:r>
      <w:r>
        <w:rPr>
          <w:rFonts w:asciiTheme="majorHAnsi" w:hAnsiTheme="majorHAnsi" w:cs="Times New Roman"/>
        </w:rPr>
        <w:t>u</w:t>
      </w:r>
      <w:r w:rsidRPr="00815EDF">
        <w:rPr>
          <w:rFonts w:asciiTheme="majorHAnsi" w:hAnsiTheme="majorHAnsi" w:cs="Times New Roman"/>
        </w:rPr>
        <w:t xml:space="preserve"> požárního dozoru v rezortu </w:t>
      </w:r>
      <w:r>
        <w:rPr>
          <w:rFonts w:asciiTheme="majorHAnsi" w:hAnsiTheme="majorHAnsi" w:cs="Times New Roman"/>
        </w:rPr>
        <w:t xml:space="preserve">Ministerstva </w:t>
      </w:r>
      <w:r w:rsidRPr="00815EDF">
        <w:rPr>
          <w:rFonts w:asciiTheme="majorHAnsi" w:hAnsiTheme="majorHAnsi" w:cs="Times New Roman"/>
        </w:rPr>
        <w:t>obrany podle zákona č.</w:t>
      </w:r>
      <w:r>
        <w:rPr>
          <w:rFonts w:asciiTheme="majorHAnsi" w:hAnsiTheme="majorHAnsi" w:cs="Times New Roman"/>
        </w:rPr>
        <w:t> </w:t>
      </w:r>
      <w:r w:rsidRPr="00815EDF">
        <w:rPr>
          <w:rFonts w:asciiTheme="majorHAnsi" w:hAnsiTheme="majorHAnsi" w:cs="Times New Roman"/>
        </w:rPr>
        <w:t xml:space="preserve">133/1985 Sb., </w:t>
      </w:r>
      <w:r>
        <w:rPr>
          <w:rFonts w:asciiTheme="majorHAnsi" w:hAnsiTheme="majorHAnsi" w:cs="Times New Roman"/>
        </w:rPr>
        <w:t xml:space="preserve">o požární ochraně, </w:t>
      </w:r>
      <w:r w:rsidRPr="00815EDF">
        <w:rPr>
          <w:rFonts w:asciiTheme="majorHAnsi" w:hAnsiTheme="majorHAnsi" w:cs="Times New Roman"/>
        </w:rPr>
        <w:t>ve znění pozdějších předpisů.</w:t>
      </w:r>
    </w:p>
    <w:p w:rsidR="007F0E20" w:rsidRPr="00815EDF" w:rsidRDefault="007F0E20" w:rsidP="007F0E20">
      <w:pPr>
        <w:pStyle w:val="Odstavecseseznamem"/>
        <w:numPr>
          <w:ilvl w:val="0"/>
          <w:numId w:val="39"/>
        </w:numPr>
        <w:spacing w:after="120" w:line="240" w:lineRule="auto"/>
        <w:jc w:val="both"/>
        <w:rPr>
          <w:rFonts w:asciiTheme="majorHAnsi" w:hAnsiTheme="majorHAnsi" w:cs="Times New Roman"/>
        </w:rPr>
      </w:pPr>
      <w:r w:rsidRPr="00815EDF">
        <w:rPr>
          <w:rFonts w:asciiTheme="majorHAnsi" w:hAnsiTheme="majorHAnsi" w:cs="Times New Roman"/>
        </w:rPr>
        <w:t>Zjišť</w:t>
      </w:r>
      <w:r>
        <w:rPr>
          <w:rFonts w:asciiTheme="majorHAnsi" w:hAnsiTheme="majorHAnsi" w:cs="Times New Roman"/>
        </w:rPr>
        <w:t>ování příčin vzniku požárů a podíl</w:t>
      </w:r>
      <w:r w:rsidRPr="00815EDF">
        <w:rPr>
          <w:rFonts w:asciiTheme="majorHAnsi" w:hAnsiTheme="majorHAnsi" w:cs="Times New Roman"/>
        </w:rPr>
        <w:t xml:space="preserve"> na vyšetřování závažných a mimořádných událostí v oblasti požární ochrany a zásahové činnosti vojenských hasičských jednotek v součinnosti s Vojenskou p</w:t>
      </w:r>
      <w:r>
        <w:rPr>
          <w:rFonts w:asciiTheme="majorHAnsi" w:hAnsiTheme="majorHAnsi" w:cs="Times New Roman"/>
        </w:rPr>
        <w:t>olicií, Policií ČR a Inspekcí Ministerstva obrany</w:t>
      </w:r>
      <w:r w:rsidRPr="00815EDF">
        <w:rPr>
          <w:rFonts w:asciiTheme="majorHAnsi" w:hAnsiTheme="majorHAnsi" w:cs="Times New Roman"/>
        </w:rPr>
        <w:t>.</w:t>
      </w:r>
    </w:p>
    <w:p w:rsidR="007F0E20" w:rsidRPr="00815EDF" w:rsidRDefault="007F0E20" w:rsidP="007F0E20">
      <w:pPr>
        <w:pStyle w:val="Odstavecseseznamem"/>
        <w:numPr>
          <w:ilvl w:val="0"/>
          <w:numId w:val="39"/>
        </w:numPr>
        <w:spacing w:after="120" w:line="240" w:lineRule="auto"/>
        <w:jc w:val="both"/>
        <w:rPr>
          <w:rFonts w:asciiTheme="majorHAnsi" w:hAnsiTheme="majorHAnsi" w:cs="Times New Roman"/>
        </w:rPr>
      </w:pPr>
      <w:r w:rsidRPr="00815EDF">
        <w:rPr>
          <w:rFonts w:asciiTheme="majorHAnsi" w:hAnsiTheme="majorHAnsi" w:cs="Times New Roman"/>
        </w:rPr>
        <w:t>Kontrol</w:t>
      </w:r>
      <w:r>
        <w:rPr>
          <w:rFonts w:asciiTheme="majorHAnsi" w:hAnsiTheme="majorHAnsi" w:cs="Times New Roman"/>
        </w:rPr>
        <w:t>a</w:t>
      </w:r>
      <w:r w:rsidRPr="00815EDF">
        <w:rPr>
          <w:rFonts w:asciiTheme="majorHAnsi" w:hAnsiTheme="majorHAnsi" w:cs="Times New Roman"/>
        </w:rPr>
        <w:t xml:space="preserve"> připravenost</w:t>
      </w:r>
      <w:r>
        <w:rPr>
          <w:rFonts w:asciiTheme="majorHAnsi" w:hAnsiTheme="majorHAnsi" w:cs="Times New Roman"/>
        </w:rPr>
        <w:t>i</w:t>
      </w:r>
      <w:r w:rsidRPr="00815EDF">
        <w:rPr>
          <w:rFonts w:asciiTheme="majorHAnsi" w:hAnsiTheme="majorHAnsi" w:cs="Times New Roman"/>
        </w:rPr>
        <w:t xml:space="preserve"> a akceschopnost</w:t>
      </w:r>
      <w:r>
        <w:rPr>
          <w:rFonts w:asciiTheme="majorHAnsi" w:hAnsiTheme="majorHAnsi" w:cs="Times New Roman"/>
        </w:rPr>
        <w:t>i</w:t>
      </w:r>
      <w:r w:rsidRPr="00815EDF">
        <w:rPr>
          <w:rFonts w:asciiTheme="majorHAnsi" w:hAnsiTheme="majorHAnsi" w:cs="Times New Roman"/>
        </w:rPr>
        <w:t xml:space="preserve"> vojenských hasičských jednotek.</w:t>
      </w:r>
    </w:p>
    <w:p w:rsidR="007F0E20" w:rsidRPr="00815EDF" w:rsidRDefault="007F0E20" w:rsidP="007F0E20">
      <w:pPr>
        <w:pStyle w:val="Odstavecseseznamem"/>
        <w:numPr>
          <w:ilvl w:val="0"/>
          <w:numId w:val="39"/>
        </w:numPr>
        <w:spacing w:after="120" w:line="240" w:lineRule="auto"/>
        <w:jc w:val="both"/>
        <w:rPr>
          <w:rFonts w:asciiTheme="majorHAnsi" w:hAnsiTheme="majorHAnsi" w:cs="Times New Roman"/>
        </w:rPr>
      </w:pPr>
      <w:r>
        <w:rPr>
          <w:rFonts w:asciiTheme="majorHAnsi" w:hAnsiTheme="majorHAnsi" w:cs="Times New Roman"/>
        </w:rPr>
        <w:t>Podíl</w:t>
      </w:r>
      <w:r w:rsidRPr="00815EDF">
        <w:rPr>
          <w:rFonts w:asciiTheme="majorHAnsi" w:hAnsiTheme="majorHAnsi" w:cs="Times New Roman"/>
        </w:rPr>
        <w:t xml:space="preserve"> na tvorbě normativních aktů, řešení odborných a metodických otázek ve své oblasti.</w:t>
      </w:r>
    </w:p>
    <w:p w:rsidR="007F0E20" w:rsidRPr="00815EDF" w:rsidRDefault="007F0E20" w:rsidP="007F0E20">
      <w:pPr>
        <w:pStyle w:val="Odstavecseseznamem"/>
        <w:numPr>
          <w:ilvl w:val="0"/>
          <w:numId w:val="39"/>
        </w:numPr>
        <w:spacing w:after="120" w:line="240" w:lineRule="auto"/>
        <w:jc w:val="both"/>
        <w:rPr>
          <w:rFonts w:asciiTheme="majorHAnsi" w:hAnsiTheme="majorHAnsi" w:cs="Times New Roman"/>
        </w:rPr>
      </w:pPr>
      <w:r w:rsidRPr="00815EDF">
        <w:rPr>
          <w:rFonts w:asciiTheme="majorHAnsi" w:hAnsiTheme="majorHAnsi" w:cs="Times New Roman"/>
        </w:rPr>
        <w:t>Zpracovává</w:t>
      </w:r>
      <w:r>
        <w:rPr>
          <w:rFonts w:asciiTheme="majorHAnsi" w:hAnsiTheme="majorHAnsi" w:cs="Times New Roman"/>
        </w:rPr>
        <w:t>ní podkladů</w:t>
      </w:r>
      <w:r w:rsidRPr="00815EDF">
        <w:rPr>
          <w:rFonts w:asciiTheme="majorHAnsi" w:hAnsiTheme="majorHAnsi" w:cs="Times New Roman"/>
        </w:rPr>
        <w:t xml:space="preserve"> pro statistické údaje o požárech a mimořádných událostech se zaměřením na zásah vojenských hasičských jednotek.</w:t>
      </w:r>
    </w:p>
    <w:p w:rsidR="00DC3473" w:rsidRPr="00551241" w:rsidRDefault="007F0E20" w:rsidP="007F0E20">
      <w:pPr>
        <w:pStyle w:val="Odstavecseseznamem"/>
        <w:numPr>
          <w:ilvl w:val="0"/>
          <w:numId w:val="39"/>
        </w:numPr>
        <w:spacing w:line="240" w:lineRule="auto"/>
        <w:jc w:val="both"/>
        <w:rPr>
          <w:rFonts w:asciiTheme="majorHAnsi" w:eastAsia="Times New Roman" w:hAnsiTheme="majorHAnsi" w:cs="Times New Roman"/>
          <w:lang w:eastAsia="cs-CZ"/>
        </w:rPr>
      </w:pPr>
      <w:r w:rsidRPr="00815EDF">
        <w:rPr>
          <w:rFonts w:asciiTheme="majorHAnsi" w:hAnsiTheme="majorHAnsi" w:cs="Times New Roman"/>
        </w:rPr>
        <w:t>Posuz</w:t>
      </w:r>
      <w:r>
        <w:rPr>
          <w:rFonts w:asciiTheme="majorHAnsi" w:hAnsiTheme="majorHAnsi" w:cs="Times New Roman"/>
        </w:rPr>
        <w:t>ování výrobků a prototypů</w:t>
      </w:r>
      <w:r w:rsidRPr="00815EDF">
        <w:rPr>
          <w:rFonts w:asciiTheme="majorHAnsi" w:hAnsiTheme="majorHAnsi" w:cs="Times New Roman"/>
        </w:rPr>
        <w:t xml:space="preserve"> z hlediska jejich požární bezpečnosti a funkčnost systémů vyhrazených požárně bezpečnostních zařízení rezortu </w:t>
      </w:r>
      <w:r>
        <w:rPr>
          <w:rFonts w:asciiTheme="majorHAnsi" w:hAnsiTheme="majorHAnsi" w:cs="Times New Roman"/>
        </w:rPr>
        <w:t xml:space="preserve">Ministerstva </w:t>
      </w:r>
      <w:r w:rsidRPr="00815EDF">
        <w:rPr>
          <w:rFonts w:asciiTheme="majorHAnsi" w:hAnsiTheme="majorHAnsi" w:cs="Times New Roman"/>
        </w:rPr>
        <w:t>obrany</w:t>
      </w:r>
      <w:r w:rsidR="00ED650C" w:rsidRPr="00ED650C">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975C15">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75C15" w:rsidRPr="00975C15" w:rsidRDefault="00975C15" w:rsidP="00975C15">
      <w:pPr>
        <w:spacing w:before="120" w:after="120" w:line="240" w:lineRule="auto"/>
        <w:jc w:val="both"/>
        <w:rPr>
          <w:rFonts w:asciiTheme="majorHAnsi" w:hAnsiTheme="majorHAnsi" w:cs="Times New Roman"/>
        </w:rPr>
      </w:pPr>
      <w:r w:rsidRPr="00975C15">
        <w:rPr>
          <w:rFonts w:asciiTheme="majorHAnsi" w:hAnsiTheme="majorHAnsi" w:cs="Times New Roman"/>
        </w:rPr>
        <w:t xml:space="preserve">Státnímu zaměstnanci přísluší </w:t>
      </w:r>
      <w:r w:rsidRPr="00975C15">
        <w:rPr>
          <w:rFonts w:asciiTheme="majorHAnsi" w:hAnsiTheme="majorHAnsi" w:cs="Times New Roman"/>
          <w:b/>
          <w:bCs/>
        </w:rPr>
        <w:t>platový tarif od 29 050 Kč do 42 140 Kč</w:t>
      </w:r>
      <w:r w:rsidRPr="00975C15">
        <w:rPr>
          <w:rFonts w:asciiTheme="majorHAnsi" w:hAnsiTheme="majorHAnsi" w:cs="Times New Roman"/>
        </w:rPr>
        <w:t xml:space="preserve">. </w:t>
      </w:r>
    </w:p>
    <w:p w:rsidR="00975C15" w:rsidRDefault="00975C15" w:rsidP="00975C15">
      <w:pPr>
        <w:spacing w:before="120" w:after="120" w:line="240" w:lineRule="auto"/>
        <w:jc w:val="both"/>
        <w:rPr>
          <w:rFonts w:asciiTheme="majorHAnsi" w:hAnsiTheme="majorHAnsi" w:cs="Times New Roman"/>
        </w:rPr>
      </w:pPr>
      <w:r w:rsidRPr="00975C15">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F025B3" w:rsidRDefault="00F025B3" w:rsidP="00975C15">
      <w:pPr>
        <w:spacing w:before="120" w:after="120" w:line="240" w:lineRule="auto"/>
        <w:jc w:val="both"/>
        <w:rPr>
          <w:rFonts w:asciiTheme="majorHAnsi" w:hAnsiTheme="majorHAnsi" w:cs="Times New Roman"/>
        </w:rPr>
      </w:pPr>
    </w:p>
    <w:p w:rsidR="00D04393" w:rsidRDefault="00D04393" w:rsidP="00975C15">
      <w:pPr>
        <w:spacing w:before="120" w:after="120" w:line="240" w:lineRule="auto"/>
        <w:jc w:val="both"/>
        <w:rPr>
          <w:rFonts w:asciiTheme="majorHAnsi" w:hAnsiTheme="majorHAnsi" w:cs="Times New Roman"/>
        </w:rPr>
      </w:pPr>
    </w:p>
    <w:p w:rsidR="00D04393" w:rsidRPr="00975C15" w:rsidRDefault="00D04393" w:rsidP="00975C15">
      <w:pPr>
        <w:spacing w:before="120" w:after="120" w:line="240" w:lineRule="auto"/>
        <w:jc w:val="both"/>
        <w:rPr>
          <w:rFonts w:asciiTheme="majorHAnsi" w:hAnsiTheme="majorHAnsi" w:cs="Times New Roman"/>
        </w:rPr>
      </w:pPr>
    </w:p>
    <w:p w:rsidR="00975C15" w:rsidRPr="00975C15" w:rsidRDefault="00975C15" w:rsidP="00975C15">
      <w:pPr>
        <w:spacing w:before="120" w:after="120" w:line="240" w:lineRule="auto"/>
        <w:jc w:val="both"/>
        <w:rPr>
          <w:rFonts w:asciiTheme="majorHAnsi" w:hAnsiTheme="majorHAnsi" w:cs="Times New Roman"/>
          <w:b/>
          <w:bCs/>
        </w:rPr>
      </w:pPr>
      <w:r w:rsidRPr="00975C15">
        <w:rPr>
          <w:rFonts w:asciiTheme="majorHAnsi" w:hAnsiTheme="majorHAnsi" w:cs="Times New Roman"/>
          <w:b/>
          <w:bCs/>
        </w:rPr>
        <w:lastRenderedPageBreak/>
        <w:t xml:space="preserve">2.2 Osobní příplatek </w:t>
      </w:r>
    </w:p>
    <w:p w:rsidR="005052A1" w:rsidRPr="006B3610" w:rsidRDefault="00975C15" w:rsidP="00975C15">
      <w:pPr>
        <w:spacing w:before="120" w:after="120" w:line="240" w:lineRule="auto"/>
        <w:jc w:val="both"/>
        <w:rPr>
          <w:rFonts w:ascii="Cambria" w:hAnsi="Cambria" w:cs="Arial"/>
          <w:color w:val="000000"/>
        </w:rPr>
      </w:pPr>
      <w:r w:rsidRPr="00975C15">
        <w:rPr>
          <w:rFonts w:asciiTheme="majorHAnsi" w:hAnsiTheme="majorHAnsi" w:cs="Times New Roman"/>
        </w:rPr>
        <w:t xml:space="preserve">Rozpětí </w:t>
      </w:r>
      <w:r w:rsidRPr="00975C15">
        <w:rPr>
          <w:rFonts w:asciiTheme="majorHAnsi" w:hAnsiTheme="majorHAnsi" w:cs="Times New Roman"/>
          <w:b/>
          <w:bCs/>
        </w:rPr>
        <w:t xml:space="preserve">od 2 107 Kč do 6 321 Kč </w:t>
      </w:r>
      <w:r w:rsidRPr="00975C15">
        <w:rPr>
          <w:rFonts w:asciiTheme="majorHAnsi" w:hAnsiTheme="majorHAnsi" w:cs="Times New Roman"/>
        </w:rPr>
        <w:t xml:space="preserve">odpovídá </w:t>
      </w:r>
      <w:r w:rsidRPr="00975C15">
        <w:rPr>
          <w:rFonts w:asciiTheme="majorHAnsi" w:hAnsiTheme="majorHAnsi" w:cs="Times New Roman"/>
          <w:b/>
          <w:bCs/>
        </w:rPr>
        <w:t xml:space="preserve">průměrné výši osobního příplatku </w:t>
      </w:r>
      <w:r w:rsidRPr="00975C15">
        <w:rPr>
          <w:rFonts w:asciiTheme="majorHAnsi" w:hAnsiTheme="majorHAnsi" w:cs="Times New Roman"/>
        </w:rPr>
        <w:t>při dosahování dobrých výsledků ve služebním hodnocení ve služebních úřadech v České republice</w:t>
      </w:r>
      <w:r w:rsidR="005052A1" w:rsidRPr="006B3610">
        <w:rPr>
          <w:rFonts w:ascii="Cambria" w:hAnsi="Cambria" w:cs="Cambria"/>
          <w:color w:val="000000"/>
        </w:rPr>
        <w:t xml:space="preserve">. </w:t>
      </w:r>
      <w:r w:rsidR="005052A1"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D04393">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9E5C00">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6C0888">
        <w:rPr>
          <w:rFonts w:ascii="Cambria" w:hAnsi="Cambria" w:cs="Cambria"/>
          <w:b/>
          <w:color w:val="000000"/>
        </w:rPr>
        <w:t>10</w:t>
      </w:r>
      <w:r w:rsidR="009E5C00">
        <w:rPr>
          <w:rFonts w:ascii="Cambria" w:hAnsi="Cambria" w:cs="Cambria"/>
          <w:b/>
          <w:color w:val="000000"/>
        </w:rPr>
        <w:t>. července</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0C1E8A" w:rsidRPr="000C1E8A">
        <w:rPr>
          <w:rFonts w:asciiTheme="majorHAnsi" w:eastAsia="Times New Roman" w:hAnsiTheme="majorHAnsi" w:cs="Times New Roman"/>
          <w:b/>
          <w:bCs/>
          <w:color w:val="000000" w:themeColor="text1"/>
          <w:lang w:eastAsia="cs-CZ"/>
        </w:rPr>
        <w:t>rada/ministerský rada oddělení státního dozoru odboru ochrany územních zájmů a státního odborného dozoru sekce majetkové Ministerstva obrany (</w:t>
      </w:r>
      <w:proofErr w:type="spellStart"/>
      <w:r w:rsidR="000C1E8A" w:rsidRPr="000C1E8A">
        <w:rPr>
          <w:rFonts w:asciiTheme="majorHAnsi" w:eastAsia="Times New Roman" w:hAnsiTheme="majorHAnsi" w:cs="Times New Roman"/>
          <w:b/>
          <w:bCs/>
          <w:color w:val="000000" w:themeColor="text1"/>
          <w:lang w:eastAsia="cs-CZ"/>
        </w:rPr>
        <w:t>extID</w:t>
      </w:r>
      <w:proofErr w:type="spellEnd"/>
      <w:r w:rsidR="000C1E8A" w:rsidRPr="000C1E8A">
        <w:rPr>
          <w:rFonts w:asciiTheme="majorHAnsi" w:eastAsia="Times New Roman" w:hAnsiTheme="majorHAnsi" w:cs="Times New Roman"/>
          <w:b/>
          <w:bCs/>
          <w:color w:val="000000" w:themeColor="text1"/>
          <w:lang w:eastAsia="cs-CZ"/>
        </w:rPr>
        <w:t> 2024 0013 2209</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6765EB">
        <w:rPr>
          <w:rFonts w:asciiTheme="majorHAnsi" w:eastAsia="Times New Roman" w:hAnsiTheme="majorHAnsi" w:cs="Times New Roman"/>
          <w:b/>
          <w:lang w:eastAsia="cs-CZ"/>
        </w:rPr>
        <w:t> bakalářské</w:t>
      </w:r>
      <w:r w:rsidR="00A4115B">
        <w:rPr>
          <w:rFonts w:asciiTheme="majorHAnsi" w:eastAsia="Times New Roman" w:hAnsiTheme="majorHAnsi" w:cs="Times New Roman"/>
          <w:b/>
          <w:lang w:eastAsia="cs-CZ"/>
        </w:rPr>
        <w:t>m</w:t>
      </w:r>
      <w:r w:rsidR="006765EB">
        <w:rPr>
          <w:rFonts w:asciiTheme="majorHAnsi" w:eastAsia="Times New Roman" w:hAnsiTheme="majorHAnsi" w:cs="Times New Roman"/>
          <w:b/>
          <w:lang w:eastAsia="cs-CZ"/>
        </w:rPr>
        <w:t xml:space="preserve">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D04393" w:rsidRPr="0055490D" w:rsidRDefault="00D04393" w:rsidP="0055490D">
      <w:pPr>
        <w:numPr>
          <w:ilvl w:val="0"/>
          <w:numId w:val="7"/>
        </w:numPr>
        <w:spacing w:before="120" w:after="120" w:line="240" w:lineRule="auto"/>
        <w:jc w:val="both"/>
        <w:rPr>
          <w:rFonts w:asciiTheme="majorHAnsi" w:eastAsia="Times New Roman" w:hAnsiTheme="majorHAnsi" w:cs="Times New Roman"/>
          <w:lang w:eastAsia="cs-CZ"/>
        </w:rPr>
      </w:pPr>
      <w:r w:rsidRPr="00F84486">
        <w:rPr>
          <w:rFonts w:asciiTheme="majorHAnsi" w:eastAsia="Times New Roman" w:hAnsiTheme="majorHAnsi" w:cs="Times New Roman"/>
          <w:lang w:eastAsia="cs-CZ"/>
        </w:rPr>
        <w:t xml:space="preserve">Žadatel musí splňovat jiný odborný požadavek stanovený podle § 25 odst. </w:t>
      </w:r>
      <w:r w:rsidR="0055490D">
        <w:rPr>
          <w:rFonts w:asciiTheme="majorHAnsi" w:eastAsia="Times New Roman" w:hAnsiTheme="majorHAnsi" w:cs="Times New Roman"/>
          <w:lang w:eastAsia="cs-CZ"/>
        </w:rPr>
        <w:t>3</w:t>
      </w:r>
      <w:r w:rsidRPr="00F84486">
        <w:rPr>
          <w:rFonts w:asciiTheme="majorHAnsi" w:eastAsia="Times New Roman" w:hAnsiTheme="majorHAnsi" w:cs="Times New Roman"/>
          <w:lang w:eastAsia="cs-CZ"/>
        </w:rPr>
        <w:t xml:space="preserve"> zákona o státní službě služebním předpisem státního tajemníka v Ministerstvu obrany č. 1/202</w:t>
      </w:r>
      <w:r w:rsidR="0055490D">
        <w:rPr>
          <w:rFonts w:asciiTheme="majorHAnsi" w:eastAsia="Times New Roman" w:hAnsiTheme="majorHAnsi" w:cs="Times New Roman"/>
          <w:lang w:eastAsia="cs-CZ"/>
        </w:rPr>
        <w:t>5</w:t>
      </w:r>
      <w:r w:rsidRPr="00F84486">
        <w:rPr>
          <w:rFonts w:asciiTheme="majorHAnsi" w:eastAsia="Times New Roman" w:hAnsiTheme="majorHAnsi" w:cs="Times New Roman"/>
          <w:lang w:eastAsia="cs-CZ"/>
        </w:rPr>
        <w:t>, kterým se stanoví vnitřní systemizace a organizační struktura pro rok 202</w:t>
      </w:r>
      <w:r w:rsidR="0055490D">
        <w:rPr>
          <w:rFonts w:asciiTheme="majorHAnsi" w:eastAsia="Times New Roman" w:hAnsiTheme="majorHAnsi" w:cs="Times New Roman"/>
          <w:lang w:eastAsia="cs-CZ"/>
        </w:rPr>
        <w:t>5</w:t>
      </w:r>
      <w:r w:rsidRPr="00F84486">
        <w:rPr>
          <w:rFonts w:asciiTheme="majorHAnsi" w:eastAsia="Times New Roman" w:hAnsiTheme="majorHAnsi" w:cs="Times New Roman"/>
          <w:lang w:eastAsia="cs-CZ"/>
        </w:rPr>
        <w:t xml:space="preserve"> (SP-01/202</w:t>
      </w:r>
      <w:r w:rsidR="0055490D">
        <w:rPr>
          <w:rFonts w:asciiTheme="majorHAnsi" w:eastAsia="Times New Roman" w:hAnsiTheme="majorHAnsi" w:cs="Times New Roman"/>
          <w:lang w:eastAsia="cs-CZ"/>
        </w:rPr>
        <w:t>5</w:t>
      </w:r>
      <w:r w:rsidRPr="00F84486">
        <w:rPr>
          <w:rFonts w:asciiTheme="majorHAnsi" w:eastAsia="Times New Roman" w:hAnsiTheme="majorHAnsi" w:cs="Times New Roman"/>
          <w:lang w:eastAsia="cs-CZ"/>
        </w:rPr>
        <w:t>-ST), ve znění pozdějších služebních předpisů, kterým je </w:t>
      </w:r>
      <w:r w:rsidRPr="00F84486">
        <w:rPr>
          <w:rFonts w:asciiTheme="majorHAnsi" w:eastAsia="Times New Roman" w:hAnsiTheme="majorHAnsi" w:cs="Times New Roman"/>
          <w:b/>
          <w:lang w:eastAsia="cs-CZ"/>
        </w:rPr>
        <w:t>odborná způsobilost dle § 11 zákona č. 133/1985 Sb., o požární ochraně</w:t>
      </w:r>
      <w:r w:rsidRPr="00F84486">
        <w:rPr>
          <w:rFonts w:asciiTheme="majorHAnsi" w:eastAsia="Times New Roman" w:hAnsiTheme="majorHAnsi" w:cs="Times New Roman"/>
          <w:lang w:eastAsia="cs-CZ"/>
        </w:rPr>
        <w:t xml:space="preserve">, ve znění pozdějších předpisů. Splnění tohoto požadavku se dokládá originálem nebo </w:t>
      </w:r>
      <w:r w:rsidRPr="00F84486">
        <w:rPr>
          <w:rFonts w:asciiTheme="majorHAnsi" w:eastAsia="Times New Roman" w:hAnsiTheme="majorHAnsi" w:cs="Times New Roman"/>
        </w:rPr>
        <w:t>úředně ověřenou kopií osvědčení o odborné způsobilosti vydaného podle § 11 odst. 3 zákona č. 133/1985 Sb</w:t>
      </w:r>
      <w:r>
        <w:rPr>
          <w:rFonts w:asciiTheme="majorHAnsi" w:eastAsia="Times New Roman" w:hAnsiTheme="majorHAnsi" w:cs="Times New Roman"/>
        </w:rPr>
        <w:t>.</w:t>
      </w:r>
      <w:r w:rsidR="0055490D">
        <w:rPr>
          <w:rFonts w:asciiTheme="majorHAnsi" w:eastAsia="Times New Roman" w:hAnsiTheme="majorHAnsi" w:cs="Times New Roman"/>
        </w:rPr>
        <w:t xml:space="preserve"> </w:t>
      </w:r>
      <w:r w:rsidR="0055490D" w:rsidRPr="00273F43">
        <w:rPr>
          <w:rFonts w:ascii="Cambria" w:hAnsi="Cambria"/>
        </w:rPr>
        <w:t>Při podání žádosti lze podle § 26 odst. 1 věta druhá zákona o státní službě doložit pouze písemné čestné prohlášení. Písemné čestné prohlášení je součástí formuláře žádosti; uvedenou listinu lze v takovém případě doložit následně, nejpozději před konáním pohovoru</w:t>
      </w:r>
      <w:r w:rsidR="0055490D">
        <w:rPr>
          <w:rFonts w:ascii="Cambria" w:hAnsi="Cambria"/>
        </w:rPr>
        <w:t>.</w:t>
      </w:r>
    </w:p>
    <w:p w:rsidR="006017D6" w:rsidRPr="00D504C5"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6765EB">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6765EB">
        <w:rPr>
          <w:rFonts w:asciiTheme="majorHAnsi" w:eastAsia="Times New Roman" w:hAnsiTheme="majorHAnsi" w:cs="Times New Roman"/>
          <w:b/>
        </w:rPr>
        <w:t>TAJNÉ</w:t>
      </w:r>
      <w:r w:rsidRPr="00273F43">
        <w:rPr>
          <w:rFonts w:asciiTheme="majorHAnsi" w:eastAsia="Times New Roman" w:hAnsiTheme="majorHAnsi" w:cs="Times New Roman"/>
        </w:rPr>
        <w:t xml:space="preserve">. Pokud žadatel nedisponuje příslušným dokladem </w:t>
      </w:r>
      <w:r w:rsidRPr="00273F43">
        <w:rPr>
          <w:rFonts w:asciiTheme="majorHAnsi" w:eastAsia="Times New Roman" w:hAnsiTheme="majorHAnsi" w:cs="Times New Roman"/>
        </w:rPr>
        <w:lastRenderedPageBreak/>
        <w:t>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6C1ACC">
    <w:pPr>
      <w:pStyle w:val="Zpat"/>
      <w:jc w:val="center"/>
    </w:pPr>
  </w:p>
  <w:p w:rsidR="001873E3" w:rsidRDefault="006C1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81FC098E"/>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56CC"/>
    <w:rsid w:val="0009642B"/>
    <w:rsid w:val="000A178A"/>
    <w:rsid w:val="000A1C43"/>
    <w:rsid w:val="000A1C82"/>
    <w:rsid w:val="000A25B5"/>
    <w:rsid w:val="000A285F"/>
    <w:rsid w:val="000A3A71"/>
    <w:rsid w:val="000B0DC2"/>
    <w:rsid w:val="000B3C94"/>
    <w:rsid w:val="000B58BC"/>
    <w:rsid w:val="000B6C12"/>
    <w:rsid w:val="000B6F17"/>
    <w:rsid w:val="000B7BAB"/>
    <w:rsid w:val="000C17CC"/>
    <w:rsid w:val="000C1E8A"/>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0950"/>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3EF9"/>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163CC"/>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1241"/>
    <w:rsid w:val="0055490D"/>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A6A2D"/>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254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09AD"/>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5EB"/>
    <w:rsid w:val="00676A46"/>
    <w:rsid w:val="00676CD3"/>
    <w:rsid w:val="00677193"/>
    <w:rsid w:val="006772F9"/>
    <w:rsid w:val="006774E7"/>
    <w:rsid w:val="00677EB4"/>
    <w:rsid w:val="00680A8F"/>
    <w:rsid w:val="00687A03"/>
    <w:rsid w:val="00687E1D"/>
    <w:rsid w:val="00690F67"/>
    <w:rsid w:val="00692D9B"/>
    <w:rsid w:val="00693D6C"/>
    <w:rsid w:val="006968B2"/>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888"/>
    <w:rsid w:val="006C0F6A"/>
    <w:rsid w:val="006C133F"/>
    <w:rsid w:val="006C187A"/>
    <w:rsid w:val="006C19BE"/>
    <w:rsid w:val="006C1ACC"/>
    <w:rsid w:val="006C1F99"/>
    <w:rsid w:val="006C4584"/>
    <w:rsid w:val="006C4CD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42B3"/>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984"/>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0E20"/>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75C15"/>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E5C00"/>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5B"/>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1D1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D5C5A"/>
    <w:rsid w:val="00AE0879"/>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20C6"/>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B79EB"/>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47E74"/>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5676"/>
    <w:rsid w:val="00CE6DE5"/>
    <w:rsid w:val="00CF703D"/>
    <w:rsid w:val="00CF7DA1"/>
    <w:rsid w:val="00D01C39"/>
    <w:rsid w:val="00D01C45"/>
    <w:rsid w:val="00D03858"/>
    <w:rsid w:val="00D04393"/>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5AC9"/>
    <w:rsid w:val="00D46136"/>
    <w:rsid w:val="00D504C5"/>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5E6F"/>
    <w:rsid w:val="00DA6A08"/>
    <w:rsid w:val="00DB216B"/>
    <w:rsid w:val="00DB7E2E"/>
    <w:rsid w:val="00DC0DD7"/>
    <w:rsid w:val="00DC1B01"/>
    <w:rsid w:val="00DC3473"/>
    <w:rsid w:val="00DC379E"/>
    <w:rsid w:val="00DC5AEE"/>
    <w:rsid w:val="00DD13A7"/>
    <w:rsid w:val="00DD44B3"/>
    <w:rsid w:val="00DD5108"/>
    <w:rsid w:val="00DD51CB"/>
    <w:rsid w:val="00DD588C"/>
    <w:rsid w:val="00DE1CD8"/>
    <w:rsid w:val="00DE3681"/>
    <w:rsid w:val="00DE37C3"/>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0CED"/>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D650C"/>
    <w:rsid w:val="00EE47EE"/>
    <w:rsid w:val="00EE753C"/>
    <w:rsid w:val="00EF0422"/>
    <w:rsid w:val="00EF0662"/>
    <w:rsid w:val="00EF2609"/>
    <w:rsid w:val="00EF45CD"/>
    <w:rsid w:val="00EF488C"/>
    <w:rsid w:val="00EF68CB"/>
    <w:rsid w:val="00EF78D6"/>
    <w:rsid w:val="00F025B3"/>
    <w:rsid w:val="00F03600"/>
    <w:rsid w:val="00F04CA3"/>
    <w:rsid w:val="00F05CAC"/>
    <w:rsid w:val="00F065E7"/>
    <w:rsid w:val="00F10DD3"/>
    <w:rsid w:val="00F142F7"/>
    <w:rsid w:val="00F14E9A"/>
    <w:rsid w:val="00F221A5"/>
    <w:rsid w:val="00F22E0C"/>
    <w:rsid w:val="00F22EB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0E53"/>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972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338A-8788-4BE3-90F0-94CA2B0B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11723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2025-06-18T14:37:00Z</dcterms:modified>
</cp:coreProperties>
</file>